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FD6" w:rsidRDefault="00CE7AA2">
      <w:pPr>
        <w:jc w:val="center"/>
        <w:rPr>
          <w:rFonts w:ascii="Times New Roman" w:hAnsi="Times New Roman"/>
          <w:b/>
          <w:b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24" behindDoc="0" locked="0" layoutInCell="0" allowOverlap="1">
            <wp:simplePos x="0" y="0"/>
            <wp:positionH relativeFrom="column">
              <wp:posOffset>-787400</wp:posOffset>
            </wp:positionH>
            <wp:positionV relativeFrom="paragraph">
              <wp:posOffset>-19050</wp:posOffset>
            </wp:positionV>
            <wp:extent cx="1274445" cy="127444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</w:rPr>
        <w:t>Муниципальное бюджетное образовательное учреждение</w:t>
      </w:r>
    </w:p>
    <w:p w:rsidR="00B53FD6" w:rsidRDefault="00CE7AA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«Средняя общеобразовательная школа № 2»</w:t>
      </w:r>
    </w:p>
    <w:p w:rsidR="00B53FD6" w:rsidRDefault="00CE7AA2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муниципального образования – городской округ город Скопин Рязанской области</w:t>
      </w:r>
    </w:p>
    <w:p w:rsidR="00B53FD6" w:rsidRDefault="00CE7AA2">
      <w:pPr>
        <w:spacing w:after="280" w:line="240" w:lineRule="auto"/>
        <w:jc w:val="center"/>
        <w:rPr>
          <w:lang w:val="en-US"/>
        </w:rPr>
      </w:pPr>
      <w:r>
        <w:rPr>
          <w:rFonts w:ascii="Times New Roman" w:hAnsi="Times New Roman"/>
          <w:b/>
          <w:bCs/>
          <w:sz w:val="20"/>
          <w:szCs w:val="20"/>
        </w:rPr>
        <w:t>391800, Рязанская область, г. Скопин, ул. К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. </w:t>
      </w:r>
      <w:r>
        <w:rPr>
          <w:rFonts w:ascii="Times New Roman" w:hAnsi="Times New Roman"/>
          <w:b/>
          <w:bCs/>
          <w:sz w:val="20"/>
          <w:szCs w:val="20"/>
        </w:rPr>
        <w:t>Маркса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, </w:t>
      </w: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.90 </w:t>
      </w:r>
      <w:r>
        <w:rPr>
          <w:rFonts w:ascii="Times New Roman" w:hAnsi="Times New Roman"/>
          <w:b/>
          <w:bCs/>
          <w:sz w:val="20"/>
          <w:szCs w:val="20"/>
        </w:rPr>
        <w:t>т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. 2-01-49 E-mail: </w:t>
      </w:r>
      <w:r>
        <w:rPr>
          <w:rFonts w:ascii="Times New Roman" w:hAnsi="Times New Roman"/>
          <w:b/>
          <w:bCs/>
          <w:sz w:val="20"/>
          <w:szCs w:val="20"/>
          <w:u w:val="single"/>
          <w:lang w:val="en-US"/>
        </w:rPr>
        <w:t>school</w:t>
      </w:r>
      <w:hyperlink r:id="rId8">
        <w:r>
          <w:rPr>
            <w:rFonts w:ascii="Times New Roman" w:hAnsi="Times New Roman"/>
            <w:b/>
            <w:bCs/>
            <w:color w:val="0000FF"/>
            <w:sz w:val="20"/>
            <w:szCs w:val="20"/>
            <w:u w:val="single"/>
            <w:lang w:val="en-US"/>
          </w:rPr>
          <w:t>2@pochtamt.ru</w:t>
        </w:r>
      </w:hyperlink>
    </w:p>
    <w:p w:rsidR="00B53FD6" w:rsidRDefault="00B53FD6">
      <w:pPr>
        <w:spacing w:after="160" w:line="259" w:lineRule="auto"/>
        <w:rPr>
          <w:lang w:val="en-US"/>
        </w:rPr>
      </w:pPr>
    </w:p>
    <w:p w:rsidR="00B53FD6" w:rsidRDefault="00B53FD6">
      <w:pPr>
        <w:spacing w:after="160" w:line="360" w:lineRule="auto"/>
        <w:jc w:val="center"/>
        <w:rPr>
          <w:lang w:val="en-US"/>
        </w:rPr>
      </w:pPr>
    </w:p>
    <w:p w:rsidR="00B53FD6" w:rsidRDefault="00B53FD6">
      <w:pPr>
        <w:spacing w:after="160" w:line="360" w:lineRule="auto"/>
        <w:jc w:val="center"/>
        <w:rPr>
          <w:lang w:val="en-US"/>
        </w:rPr>
      </w:pPr>
    </w:p>
    <w:p w:rsidR="00B53FD6" w:rsidRDefault="00B53FD6">
      <w:pPr>
        <w:spacing w:after="160" w:line="360" w:lineRule="auto"/>
        <w:jc w:val="center"/>
        <w:rPr>
          <w:lang w:val="en-US"/>
        </w:rPr>
      </w:pPr>
    </w:p>
    <w:p w:rsidR="00B53FD6" w:rsidRPr="00F709A4" w:rsidRDefault="00B53FD6">
      <w:pPr>
        <w:spacing w:after="160" w:line="36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709A4" w:rsidRPr="00F709A4" w:rsidRDefault="00F709A4" w:rsidP="00F709A4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F709A4">
        <w:rPr>
          <w:rFonts w:ascii="Times New Roman" w:hAnsi="Times New Roman" w:cs="Times New Roman"/>
          <w:b/>
          <w:sz w:val="32"/>
          <w:szCs w:val="32"/>
        </w:rPr>
        <w:t>Региональный этап Всероссийского конкурса юных исследователей окружающей среды «Открытие 2030»</w:t>
      </w:r>
    </w:p>
    <w:p w:rsidR="00F709A4" w:rsidRDefault="00F709A4" w:rsidP="00F709A4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F709A4">
        <w:rPr>
          <w:rFonts w:ascii="Times New Roman" w:hAnsi="Times New Roman" w:cs="Times New Roman"/>
          <w:b/>
          <w:sz w:val="32"/>
          <w:szCs w:val="32"/>
        </w:rPr>
        <w:t>Номи</w:t>
      </w:r>
      <w:r>
        <w:rPr>
          <w:rFonts w:ascii="Times New Roman" w:hAnsi="Times New Roman" w:cs="Times New Roman"/>
          <w:b/>
          <w:sz w:val="32"/>
          <w:szCs w:val="32"/>
        </w:rPr>
        <w:t>нация: «Ландшафтная экология и почвоведение</w:t>
      </w:r>
      <w:r w:rsidRPr="00F709A4">
        <w:rPr>
          <w:rFonts w:ascii="Times New Roman" w:hAnsi="Times New Roman" w:cs="Times New Roman"/>
          <w:b/>
          <w:sz w:val="32"/>
          <w:szCs w:val="32"/>
        </w:rPr>
        <w:t>»</w:t>
      </w:r>
    </w:p>
    <w:p w:rsidR="00F709A4" w:rsidRDefault="00F709A4" w:rsidP="00F709A4">
      <w:pPr>
        <w:spacing w:after="160" w:line="360" w:lineRule="auto"/>
        <w:rPr>
          <w:sz w:val="32"/>
          <w:szCs w:val="32"/>
        </w:rPr>
      </w:pPr>
      <w:r w:rsidRPr="00F709A4">
        <w:rPr>
          <w:rFonts w:ascii="Times New Roman" w:hAnsi="Times New Roman"/>
          <w:b/>
          <w:bCs/>
          <w:sz w:val="32"/>
          <w:szCs w:val="32"/>
        </w:rPr>
        <w:t xml:space="preserve">Сравнительный анализ почвы широколиственного леса и залежной земли. </w:t>
      </w:r>
    </w:p>
    <w:p w:rsidR="00B53FD6" w:rsidRPr="00F709A4" w:rsidRDefault="00F709A4" w:rsidP="00F709A4">
      <w:pPr>
        <w:spacing w:after="160" w:line="360" w:lineRule="auto"/>
        <w:rPr>
          <w:sz w:val="32"/>
          <w:szCs w:val="32"/>
        </w:rPr>
      </w:pPr>
      <w:r w:rsidRPr="00F709A4">
        <w:rPr>
          <w:rFonts w:ascii="Times New Roman" w:hAnsi="Times New Roman" w:cs="Times New Roman"/>
          <w:b/>
          <w:sz w:val="32"/>
          <w:szCs w:val="32"/>
        </w:rPr>
        <w:t>Категория: исследовательская работа.</w:t>
      </w:r>
    </w:p>
    <w:p w:rsidR="00F709A4" w:rsidRPr="00F709A4" w:rsidRDefault="00F709A4" w:rsidP="00F709A4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</w:p>
    <w:p w:rsidR="00F709A4" w:rsidRPr="00F709A4" w:rsidRDefault="00F709A4" w:rsidP="00F709A4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</w:p>
    <w:p w:rsidR="00F709A4" w:rsidRPr="00F709A4" w:rsidRDefault="00F709A4" w:rsidP="00F709A4">
      <w:pPr>
        <w:spacing w:after="160" w:line="259" w:lineRule="auto"/>
      </w:pPr>
    </w:p>
    <w:p w:rsidR="00F709A4" w:rsidRPr="00F709A4" w:rsidRDefault="00F709A4" w:rsidP="00F709A4">
      <w:pPr>
        <w:spacing w:after="160" w:line="259" w:lineRule="auto"/>
      </w:pPr>
    </w:p>
    <w:p w:rsidR="00F709A4" w:rsidRPr="00F709A4" w:rsidRDefault="00F709A4" w:rsidP="00F709A4">
      <w:pPr>
        <w:spacing w:after="160" w:line="259" w:lineRule="auto"/>
      </w:pPr>
    </w:p>
    <w:p w:rsidR="00B53FD6" w:rsidRDefault="00CE7AA2">
      <w:pPr>
        <w:spacing w:after="0" w:line="240" w:lineRule="auto"/>
        <w:jc w:val="right"/>
      </w:pPr>
      <w:r>
        <w:rPr>
          <w:rFonts w:ascii="Times New Roman" w:hAnsi="Times New Roman"/>
          <w:b/>
          <w:bCs/>
          <w:sz w:val="28"/>
          <w:szCs w:val="28"/>
        </w:rPr>
        <w:t>Подготовила</w:t>
      </w:r>
      <w:r>
        <w:rPr>
          <w:rFonts w:ascii="Times New Roman" w:hAnsi="Times New Roman"/>
          <w:sz w:val="26"/>
          <w:szCs w:val="26"/>
        </w:rPr>
        <w:t xml:space="preserve">: Лихарева Софья Алексеевна </w:t>
      </w:r>
    </w:p>
    <w:p w:rsidR="00B53FD6" w:rsidRDefault="00CE7AA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ученица 10 А класса МБОУ «СОШ №2»</w:t>
      </w:r>
    </w:p>
    <w:p w:rsidR="00B53FD6" w:rsidRDefault="00CE7AA2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им. И.М. Еганова, г.Скопина</w:t>
      </w:r>
    </w:p>
    <w:p w:rsidR="00B53FD6" w:rsidRDefault="00B53FD6">
      <w:pPr>
        <w:spacing w:after="0" w:line="240" w:lineRule="auto"/>
        <w:ind w:left="4395"/>
        <w:jc w:val="right"/>
      </w:pPr>
    </w:p>
    <w:p w:rsidR="00B53FD6" w:rsidRDefault="00CE7AA2">
      <w:pPr>
        <w:spacing w:after="0" w:line="240" w:lineRule="auto"/>
        <w:jc w:val="right"/>
      </w:pPr>
      <w:r>
        <w:rPr>
          <w:rFonts w:ascii="Times New Roman" w:hAnsi="Times New Roman"/>
          <w:b/>
          <w:bCs/>
          <w:sz w:val="28"/>
          <w:szCs w:val="28"/>
        </w:rPr>
        <w:t xml:space="preserve">Научный руководитель: </w:t>
      </w:r>
      <w:r>
        <w:rPr>
          <w:rFonts w:ascii="Times New Roman" w:hAnsi="Times New Roman"/>
          <w:sz w:val="26"/>
          <w:szCs w:val="26"/>
        </w:rPr>
        <w:t>Анашкина Валентина Ивановна,</w:t>
      </w:r>
    </w:p>
    <w:p w:rsidR="00B53FD6" w:rsidRDefault="00CE7AA2">
      <w:pPr>
        <w:spacing w:after="0" w:line="240" w:lineRule="auto"/>
        <w:ind w:left="4395"/>
        <w:jc w:val="right"/>
      </w:pPr>
      <w:r>
        <w:rPr>
          <w:rFonts w:ascii="Times New Roman" w:hAnsi="Times New Roman"/>
          <w:sz w:val="26"/>
          <w:szCs w:val="26"/>
        </w:rPr>
        <w:t xml:space="preserve">учитель биологии МБОУ «СОШ №2 имени И. М. Еганова» г. Скопина, </w:t>
      </w:r>
    </w:p>
    <w:p w:rsidR="00B53FD6" w:rsidRDefault="00CE7AA2">
      <w:pPr>
        <w:spacing w:after="0" w:line="240" w:lineRule="auto"/>
        <w:ind w:left="439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т. 8-915-596-07-63</w:t>
      </w:r>
    </w:p>
    <w:p w:rsidR="00B53FD6" w:rsidRDefault="00B53FD6">
      <w:pPr>
        <w:spacing w:after="0" w:line="240" w:lineRule="auto"/>
        <w:ind w:left="4395"/>
        <w:jc w:val="right"/>
      </w:pPr>
    </w:p>
    <w:p w:rsidR="00B53FD6" w:rsidRDefault="00CE7AA2">
      <w:pPr>
        <w:spacing w:after="0" w:line="240" w:lineRule="auto"/>
        <w:ind w:left="439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. </w:t>
      </w:r>
    </w:p>
    <w:p w:rsidR="00B53FD6" w:rsidRDefault="00CE7AA2">
      <w:pPr>
        <w:spacing w:after="0" w:line="240" w:lineRule="auto"/>
        <w:ind w:left="439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3FD6" w:rsidRDefault="00B53FD6">
      <w:pPr>
        <w:spacing w:after="0" w:line="240" w:lineRule="auto"/>
        <w:ind w:left="4395"/>
        <w:jc w:val="both"/>
      </w:pPr>
    </w:p>
    <w:p w:rsidR="00B53FD6" w:rsidRDefault="00B53FD6">
      <w:pPr>
        <w:spacing w:after="0" w:line="240" w:lineRule="auto"/>
        <w:ind w:left="4395"/>
        <w:jc w:val="both"/>
      </w:pPr>
    </w:p>
    <w:p w:rsidR="00B53FD6" w:rsidRDefault="00CE7AA2">
      <w:pPr>
        <w:spacing w:after="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Скопин,  2022</w:t>
      </w:r>
    </w:p>
    <w:p w:rsidR="00B53FD6" w:rsidRPr="00CE7AA2" w:rsidRDefault="00B53FD6">
      <w:pPr>
        <w:spacing w:after="0" w:line="240" w:lineRule="auto"/>
        <w:ind w:left="-5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>
      <w:pPr>
        <w:spacing w:after="0" w:line="240" w:lineRule="auto"/>
        <w:ind w:left="-566"/>
        <w:jc w:val="center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B53FD6" w:rsidRPr="00CE7AA2" w:rsidRDefault="00B53FD6">
      <w:pPr>
        <w:spacing w:after="0" w:line="240" w:lineRule="auto"/>
        <w:ind w:left="-566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Введение…………………………………………………………………………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1. Литературный обзор…………………………………………………………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B53FD6" w:rsidRPr="00CE7AA2" w:rsidRDefault="00CE7AA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1.1. Плодородие почвы, его виды и сохранение…………………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sz w:val="28"/>
          <w:szCs w:val="28"/>
        </w:rPr>
        <w:t>....…..6</w:t>
      </w:r>
    </w:p>
    <w:p w:rsidR="00B53FD6" w:rsidRPr="00CE7AA2" w:rsidRDefault="00CE7AA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1.2. Понятие «Залежные земли»…………………………………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…..….8</w:t>
      </w:r>
    </w:p>
    <w:p w:rsidR="00B53FD6" w:rsidRPr="00CE7AA2" w:rsidRDefault="00CE7AA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1.3. Климатические условия Скопинского района………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……………10</w:t>
      </w:r>
    </w:p>
    <w:p w:rsidR="00B53FD6" w:rsidRPr="00CE7AA2" w:rsidRDefault="00CE7AA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1.4. Особенности почв Скопинского района……………………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…….11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1.5.Характеристика исследуемой территории………………………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…..</w:t>
      </w:r>
      <w:r w:rsidR="00286B30" w:rsidRPr="00CE7AA2">
        <w:rPr>
          <w:rFonts w:ascii="Times New Roman" w:hAnsi="Times New Roman" w:cs="Times New Roman"/>
          <w:sz w:val="28"/>
          <w:szCs w:val="28"/>
        </w:rPr>
        <w:t>12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2. Методика исследования. Методы исследования.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План исследования…………………………………………………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…………..….13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  2.1. Отбор почв с исследуемых территорий. Приготовление почвенной вытяжки………………………………………………………………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..13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  2.2. Физический анализ исследуемой  почвы………………………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…….….13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2.2.1. Опыт №1 «Определение механического и минерального состава почвы»…………………………………………………………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…….…..13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2.2.2. Опыт №2 «Определение структуры почвы»………………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……14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2.2.3. Опыт №3 «Определение влагоемкости почвы»…………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……...15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2.2.4. Опыт №4 «Определение водопроницаемости почвы»……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</w:t>
      </w:r>
      <w:r w:rsidRPr="00CE7AA2">
        <w:rPr>
          <w:rFonts w:ascii="Times New Roman" w:hAnsi="Times New Roman" w:cs="Times New Roman"/>
          <w:sz w:val="28"/>
          <w:szCs w:val="28"/>
        </w:rPr>
        <w:t>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15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2.2.5. Опыт №5 «Определение содержания воздуха в почвенных образцах»……………………………………………………………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……15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2.2.6. Опыт №6 «Дыхание почвы»………………………………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……....15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   2.3. Химический анализ исследуемой почвы…………………………</w:t>
      </w:r>
      <w:r w:rsidR="00117D6E" w:rsidRPr="00CE7AA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……...16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2.3.1. Определение уровня рН почвенной вытяжки……………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………16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2.3.2. Определение содержания гумуса в почве………………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………...16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2.3.3. Изучение засоленности почвы………………………………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</w:t>
      </w:r>
      <w:r w:rsidRPr="00CE7AA2">
        <w:rPr>
          <w:rFonts w:ascii="Times New Roman" w:hAnsi="Times New Roman" w:cs="Times New Roman"/>
          <w:sz w:val="28"/>
          <w:szCs w:val="28"/>
        </w:rPr>
        <w:t>16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3. Результаты исследований…………………………………………………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19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    3.1.Физические показатели почвы……………………………………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……….19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3.1.1. Механи</w:t>
      </w:r>
      <w:r w:rsidR="00BC332B">
        <w:rPr>
          <w:rFonts w:ascii="Times New Roman" w:hAnsi="Times New Roman" w:cs="Times New Roman"/>
          <w:sz w:val="28"/>
          <w:szCs w:val="28"/>
        </w:rPr>
        <w:t xml:space="preserve">ческий состав </w:t>
      </w:r>
      <w:r w:rsidR="00BC332B" w:rsidRPr="00BC332B">
        <w:rPr>
          <w:rFonts w:ascii="Times New Roman" w:hAnsi="Times New Roman" w:cs="Times New Roman"/>
          <w:sz w:val="40"/>
          <w:szCs w:val="40"/>
        </w:rPr>
        <w:t>почвы</w:t>
      </w:r>
      <w:r w:rsidRPr="00CE7AA2">
        <w:rPr>
          <w:rFonts w:ascii="Times New Roman" w:hAnsi="Times New Roman" w:cs="Times New Roman"/>
          <w:sz w:val="28"/>
          <w:szCs w:val="28"/>
        </w:rPr>
        <w:t>………………………16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>3.1.2. Структура почвы……………………………………………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……...19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3.1.3. Влагоемкость почвенных образцов………………………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…….…19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3.1.4. Водопроницаемость почвы………………………………</w:t>
      </w:r>
      <w:r w:rsidR="00117D6E" w:rsidRPr="00CE7AA2">
        <w:rPr>
          <w:rFonts w:ascii="Times New Roman" w:hAnsi="Times New Roman" w:cs="Times New Roman"/>
          <w:sz w:val="28"/>
          <w:szCs w:val="28"/>
        </w:rPr>
        <w:t>.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………..19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3.1.5. Содержание воздуха в почве………………………………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………19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3.1.6. Интенсивность дыхания почвенных образцов……………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……...19</w:t>
      </w:r>
    </w:p>
    <w:p w:rsidR="00B53FD6" w:rsidRPr="00CE7AA2" w:rsidRDefault="00CE7AA2">
      <w:pPr>
        <w:spacing w:after="0" w:line="360" w:lineRule="auto"/>
        <w:ind w:left="-566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     3.2. Химические свойства почвенных образцов……………………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…….…20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3.2.1. Уровень рН почвенных образцов………………………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………....20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3.2.2. Содержание гумуса в почве……………………………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……..……20</w:t>
      </w:r>
    </w:p>
    <w:p w:rsidR="00B53FD6" w:rsidRPr="00CE7AA2" w:rsidRDefault="00CE7AA2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3.2.3. Содержание солей в почвенных образцах……………</w:t>
      </w:r>
      <w:r w:rsidR="00286B30" w:rsidRPr="00CE7AA2">
        <w:rPr>
          <w:rFonts w:ascii="Times New Roman" w:hAnsi="Times New Roman" w:cs="Times New Roman"/>
          <w:sz w:val="28"/>
          <w:szCs w:val="28"/>
        </w:rPr>
        <w:t>………......21</w:t>
      </w:r>
    </w:p>
    <w:p w:rsidR="00B53FD6" w:rsidRPr="00CE7AA2" w:rsidRDefault="00CE7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Выводы……………………………………………………………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……………..22</w:t>
      </w:r>
    </w:p>
    <w:p w:rsidR="00B53FD6" w:rsidRPr="00CE7AA2" w:rsidRDefault="00CE7A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Заключение ………………………………………………………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……………..23</w:t>
      </w:r>
    </w:p>
    <w:p w:rsidR="00B53FD6" w:rsidRPr="00CE7AA2" w:rsidRDefault="00CE7A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……………...24</w:t>
      </w:r>
    </w:p>
    <w:p w:rsidR="00B53FD6" w:rsidRPr="00CE7AA2" w:rsidRDefault="00CE7A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Приложения……………………………………………………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………………25</w:t>
      </w:r>
    </w:p>
    <w:p w:rsidR="00B53FD6" w:rsidRPr="00CE7AA2" w:rsidRDefault="00B53F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</w:t>
      </w:r>
      <w:r w:rsidRPr="00CE7A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7AA2">
        <w:rPr>
          <w:rFonts w:ascii="Times New Roman" w:hAnsi="Times New Roman" w:cs="Times New Roman"/>
          <w:sz w:val="28"/>
          <w:szCs w:val="28"/>
        </w:rPr>
        <w:t xml:space="preserve">Почва  - это основной компонент биосферы, представляющий собой среду обитания сухопутных растений, животных и микроорганизмов. Наземные растения, черпая из почвы все необходимые для жизнедеятельности минеральные  вещества, осуществляют фотосинтез, в результате которого из углекислого газа и воды  с поглощением солнечной энергии образуются первичные органические вещества, служащие для дальнейшего синтеза громадного разнообразия более сложных органических веществ. Единство двух глобальных противоположно направленных процессов – фотосинтеза и минерализации приводит в действие биологический круговорот не только углерода, но и всех других биогенных элементов на Земле. 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Широкое распространение факторов деградации почвенного плодородия обуславливают необходимость контроля и оценки за состоянием  физико – химических показателей почвы.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Pr="00CE7AA2">
        <w:rPr>
          <w:rFonts w:ascii="Times New Roman" w:hAnsi="Times New Roman" w:cs="Times New Roman"/>
          <w:sz w:val="28"/>
          <w:szCs w:val="28"/>
        </w:rPr>
        <w:t>исследовать  физико-химическое состояние почвы  широколиственного леса и залежной земли.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-отобрать пробы почвы;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-провести исследование почвы по физическому состоянию;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-провести химический анализ почвы;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-сделать выводы по исследованию.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Место исследования</w:t>
      </w:r>
      <w:r w:rsidRPr="00CE7AA2">
        <w:rPr>
          <w:rFonts w:ascii="Times New Roman" w:hAnsi="Times New Roman" w:cs="Times New Roman"/>
          <w:sz w:val="28"/>
          <w:szCs w:val="28"/>
        </w:rPr>
        <w:t>: широколиственный лес «Заклятой» и залежная земля, расположенная в 100 метрах от леса с южной стороны, на которой с незапамятных времен выращивали зерновые культуры, и брошенная с 1991 года.  (заросли березы и сосны)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 Объект исследования: </w:t>
      </w:r>
      <w:r w:rsidRPr="00CE7AA2">
        <w:rPr>
          <w:rFonts w:ascii="Times New Roman" w:hAnsi="Times New Roman" w:cs="Times New Roman"/>
          <w:bCs/>
          <w:sz w:val="28"/>
          <w:szCs w:val="28"/>
        </w:rPr>
        <w:t>почва широколиственного леса и залежной земли.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 </w:t>
      </w:r>
      <w:r w:rsidRPr="00CE7AA2">
        <w:rPr>
          <w:rFonts w:ascii="Times New Roman" w:hAnsi="Times New Roman" w:cs="Times New Roman"/>
          <w:sz w:val="28"/>
          <w:szCs w:val="28"/>
        </w:rPr>
        <w:t>физико-химическое состояние почвы</w:t>
      </w:r>
    </w:p>
    <w:p w:rsidR="00BC332B" w:rsidRDefault="00CE7AA2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="00BC332B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 w:rsidR="00436C76" w:rsidRPr="00436C76">
        <w:rPr>
          <w:rFonts w:ascii="Times New Roman" w:hAnsi="Times New Roman" w:cs="Times New Roman"/>
          <w:bCs/>
          <w:sz w:val="28"/>
          <w:szCs w:val="28"/>
        </w:rPr>
        <w:t>каждый человек планеты земля старается сохранить высокий уровень своего здоровья как можно дольше.</w:t>
      </w:r>
      <w:r w:rsidR="00436C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6C76">
        <w:rPr>
          <w:rFonts w:ascii="Times New Roman" w:hAnsi="Times New Roman" w:cs="Times New Roman"/>
          <w:bCs/>
          <w:sz w:val="28"/>
          <w:szCs w:val="28"/>
        </w:rPr>
        <w:t>П</w:t>
      </w:r>
      <w:r w:rsidR="00436C76" w:rsidRPr="00436C76">
        <w:rPr>
          <w:rFonts w:ascii="Times New Roman" w:hAnsi="Times New Roman" w:cs="Times New Roman"/>
          <w:bCs/>
          <w:sz w:val="28"/>
          <w:szCs w:val="28"/>
        </w:rPr>
        <w:t>о имеющимся оценкам, 95% того, что мы едим, прямо или косвенно производится на почвах. Здоровые почвы производят экологически безопасные сельскохозяйственные культуры, что является залогом здоровья человека.</w:t>
      </w:r>
      <w:r w:rsidR="00436C76" w:rsidRPr="00436C7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B4B2C" w:rsidRPr="004B4B2C" w:rsidRDefault="00436C76" w:rsidP="00117D6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4B4B2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B4B2C" w:rsidRPr="004B4B2C">
        <w:rPr>
          <w:rFonts w:ascii="Times New Roman" w:hAnsi="Times New Roman" w:cs="Times New Roman"/>
          <w:bCs/>
          <w:sz w:val="28"/>
          <w:szCs w:val="28"/>
        </w:rPr>
        <w:t>моя работа имеет практическую значимость, потому что мои исследования могут быть использованы на уроках экологии при изучении темы «Биогеоценозы», «Среды жизни».</w:t>
      </w:r>
    </w:p>
    <w:p w:rsidR="00B53FD6" w:rsidRPr="00CE7AA2" w:rsidRDefault="004B4B2C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проводили  5-6 </w:t>
      </w:r>
      <w:r w:rsidR="00CE7AA2" w:rsidRPr="00CE7AA2">
        <w:rPr>
          <w:rFonts w:ascii="Times New Roman" w:hAnsi="Times New Roman" w:cs="Times New Roman"/>
          <w:b/>
          <w:bCs/>
          <w:sz w:val="28"/>
          <w:szCs w:val="28"/>
        </w:rPr>
        <w:t>июня 2022 года.</w:t>
      </w:r>
    </w:p>
    <w:p w:rsidR="00117D6E" w:rsidRDefault="00CE7AA2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CE7AA2">
        <w:rPr>
          <w:rFonts w:ascii="Times New Roman" w:hAnsi="Times New Roman" w:cs="Times New Roman"/>
          <w:sz w:val="28"/>
          <w:szCs w:val="28"/>
        </w:rPr>
        <w:t xml:space="preserve"> мы предполагаем, </w:t>
      </w:r>
      <w:r w:rsidR="00C419B5">
        <w:rPr>
          <w:rFonts w:ascii="Times New Roman" w:hAnsi="Times New Roman" w:cs="Times New Roman"/>
          <w:sz w:val="28"/>
          <w:szCs w:val="28"/>
        </w:rPr>
        <w:t>что</w:t>
      </w:r>
      <w:r w:rsidRPr="00CE7AA2">
        <w:rPr>
          <w:rFonts w:ascii="Times New Roman" w:hAnsi="Times New Roman" w:cs="Times New Roman"/>
          <w:sz w:val="28"/>
          <w:szCs w:val="28"/>
        </w:rPr>
        <w:t xml:space="preserve"> антропогенное влияние отразилось на изменении   физико–химических свойств залежной земли.</w:t>
      </w:r>
    </w:p>
    <w:p w:rsidR="00BC332B" w:rsidRPr="00BC332B" w:rsidRDefault="00BC332B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Pr="00CE7AA2" w:rsidRDefault="00286B30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32B" w:rsidRDefault="00BC332B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1 Литературный обзор.</w:t>
      </w:r>
    </w:p>
    <w:p w:rsidR="00B53FD6" w:rsidRPr="00CE7AA2" w:rsidRDefault="00CE7AA2" w:rsidP="00117D6E">
      <w:pPr>
        <w:pStyle w:val="ac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Плодородие почвы, его виды и сохранение.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Значение почвы как основного средства сельскохозяйственного производства определяется ее основным свойством – плодородием.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Под плодородием понимают способность почвы удовлетворять потребность растений в элементах питания, воде, воздухе и тепле для нормального роста и развития.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Свойства, определяющие уровень плодородия почвы:</w:t>
      </w:r>
    </w:p>
    <w:p w:rsidR="00B53FD6" w:rsidRPr="00CE7AA2" w:rsidRDefault="00CE7AA2" w:rsidP="00117D6E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Химический состав и физико-химические свойства: высокое содержание гумуса и доступных для растений форм азота, фосфора, калия и других питательных элементов, наличие микроэлементов, близкая к нейтральной реакция среды, насыщенность ППК преимущественно кальцием, низкое содержание поглощенного водорода, отсутствие поглощенного натрия и избытка легкорастворимых солей.</w:t>
      </w:r>
    </w:p>
    <w:p w:rsidR="00B53FD6" w:rsidRPr="00CE7AA2" w:rsidRDefault="00CE7AA2" w:rsidP="00117D6E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Физические свойства: агрономически ценная водопрочная зернистая или комковатая структура, высокая пористость, обеспечивающая аэрацию, хорошая впитывающая и водоудерживающая способность и др.</w:t>
      </w:r>
    </w:p>
    <w:p w:rsidR="00B53FD6" w:rsidRPr="00CE7AA2" w:rsidRDefault="00CE7AA2" w:rsidP="00117D6E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Благоприятный гидротермический режим, обеспечивающий теплом и влагой оптимальное развитие растений в течение всего вегетационного периода.</w:t>
      </w:r>
    </w:p>
    <w:p w:rsidR="00B53FD6" w:rsidRPr="00CE7AA2" w:rsidRDefault="00CE7AA2" w:rsidP="00117D6E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Биологические свойства: высокий уровень микробиологической активности различных групп микроорганизмов, обусловливающих процессы гумификации и мобилизации элементов питания растений в доступной для них форме.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Различают следующие виды плодородия: естественное (природное), искусственное, эффективное (экономическое), потенциальное.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Естественное</w:t>
      </w:r>
      <w:r w:rsidRPr="00CE7AA2">
        <w:rPr>
          <w:rFonts w:ascii="Times New Roman" w:hAnsi="Times New Roman" w:cs="Times New Roman"/>
          <w:sz w:val="28"/>
          <w:szCs w:val="28"/>
        </w:rPr>
        <w:t xml:space="preserve"> плодородие формируется в результате протекания природного почвообразовательного процесса, не осложненного вмешательством человека. Оно характерно для целинных почв и </w:t>
      </w:r>
      <w:r w:rsidRPr="00CE7AA2">
        <w:rPr>
          <w:rFonts w:ascii="Times New Roman" w:hAnsi="Times New Roman" w:cs="Times New Roman"/>
          <w:sz w:val="28"/>
          <w:szCs w:val="28"/>
        </w:rPr>
        <w:lastRenderedPageBreak/>
        <w:t>определяется биологической продуктивностью, то есть количеством растительной массы, создаваемой за год на единицу площади.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Искусственное</w:t>
      </w:r>
      <w:r w:rsidRPr="00CE7AA2">
        <w:rPr>
          <w:rFonts w:ascii="Times New Roman" w:hAnsi="Times New Roman" w:cs="Times New Roman"/>
          <w:sz w:val="28"/>
          <w:szCs w:val="28"/>
        </w:rPr>
        <w:t> плодородие создается в результате обработки, применения удобрений, мелиорации и других приемов по окультуриванию почв. Однако окультуренная почва наряду с искусственным всегда обладает и естественным плодородием, обусловленным природными свойствами почвы. Чем выше культура земледелия, тем больше изменились первоначальные качества почв и тем сильнее выражено в ней искусственное плодородие. Однако определить, какая часть плодородия окультуренной почвы относится к ее естественному плодородию, а какая к искусственному, невозможно. Эти два вида плодородия неразрывно связаны между собой.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Потенциальное</w:t>
      </w:r>
      <w:r w:rsidRPr="00CE7AA2">
        <w:rPr>
          <w:rFonts w:ascii="Times New Roman" w:hAnsi="Times New Roman" w:cs="Times New Roman"/>
          <w:sz w:val="28"/>
          <w:szCs w:val="28"/>
        </w:rPr>
        <w:t> плодородие характеризует потенциальные возможности почвы, обусловленные совокупностью ее свойств и режимов (как приобретенных в процессе почвообразования, так и созданных человеком), при благоприятных условиях длительное время обеспечивать растения всеми необходимыми факторами жизни. Так, высоким потенциальным плодородием обладают черноземные почвы, низким – подзолистые.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Эффективное</w:t>
      </w:r>
      <w:r w:rsidRPr="00CE7AA2">
        <w:rPr>
          <w:rFonts w:ascii="Times New Roman" w:hAnsi="Times New Roman" w:cs="Times New Roman"/>
          <w:sz w:val="28"/>
          <w:szCs w:val="28"/>
        </w:rPr>
        <w:t> (экономическое) плодородие совместно формируют естественное и искусственное плодородие. Оно измеряется урожайностью культур. Эффективное плодородие – это лишь результат реализации потенциального плодородия. Урожайность зависит не столько от уровня потенциального плодородия, сколько от технологии возделывания, экологической группы растений, погодных условий и организационных факторов. Например, на черноземах получают 1,8...2,0 т/га зерна пшеницы, а на бедных подзолистых почвах – 3...4 т/га.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Уровень плодородия почвы зависит от развития науки и техники. Чем совершеннее социальная структура общества, чем выше уровень научно-технического прогресса, тем больше условий для повышения эффективного плодородия почвы.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>В современных условиях необходимо обеспечить расширенное воспроизводство почвенного плодородия, то есть одновременный рост как эффективного, так и потенциального плодородия.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Землепользование включает в себя весь комплекс мер, направленных на восстановление и повышение плодородия почв. К главным приемам повышения плодородия почв относят рациональное применение минеральных удобрений и органики, гипсование и известкование почв, орошение и осушение, систему обработки, введение системы севооборотов, возделывание наиболее урожайных сортов растений, мероприятия по борьбе с эрозией и т.д. Необходимо выполнение главного принципа землепользования: любая система земледелия должна соответствовать почвенно-климатическому природному комплексу, то есть обоснована экологически.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[5]</w:t>
      </w:r>
      <w:r w:rsidRPr="00CE7A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FD6" w:rsidRPr="00CE7AA2" w:rsidRDefault="00CE7AA2" w:rsidP="00117D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1.2 Понятие  “Залежные земли”.</w:t>
      </w:r>
    </w:p>
    <w:p w:rsidR="00B53FD6" w:rsidRPr="00CE7AA2" w:rsidRDefault="00CE7AA2" w:rsidP="00117D6E">
      <w:pPr>
        <w:pStyle w:val="aa"/>
        <w:spacing w:before="0" w:after="0"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iCs/>
          <w:color w:val="212529"/>
          <w:sz w:val="28"/>
          <w:szCs w:val="28"/>
        </w:rPr>
        <w:t>Залежные земли – это бывшая пахота, брошенная на несколько лет. В отличие от целины залежь уже когда-то использовали для выращивания сельхозкультур</w:t>
      </w:r>
      <w:r w:rsidRPr="00CE7AA2">
        <w:rPr>
          <w:rFonts w:cs="Times New Roman"/>
          <w:i/>
          <w:iCs/>
          <w:color w:val="212529"/>
          <w:sz w:val="28"/>
          <w:szCs w:val="28"/>
        </w:rPr>
        <w:t xml:space="preserve">, </w:t>
      </w:r>
      <w:r w:rsidRPr="00CE7AA2">
        <w:rPr>
          <w:rFonts w:cs="Times New Roman"/>
          <w:color w:val="212529"/>
          <w:sz w:val="28"/>
          <w:szCs w:val="28"/>
        </w:rPr>
        <w:t>но затем по разным причинам прекратили возделывать. По данным Росстата, от всех неиспользуемых земель сельхозназначения залежь составляет примерно 10 % – 4,4 млн га. Больше всего таких земель в Забайкальском крае. В южных плодородных регионах, например, в Ставрополье, их нет совсем.</w:t>
      </w:r>
    </w:p>
    <w:p w:rsidR="00B53FD6" w:rsidRPr="00CE7AA2" w:rsidRDefault="00CE7AA2" w:rsidP="00117D6E">
      <w:pPr>
        <w:pStyle w:val="aa"/>
        <w:spacing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C58495F" wp14:editId="4203A7DD">
            <wp:extent cx="5905500" cy="3810000"/>
            <wp:effectExtent l="0" t="0" r="0" b="0"/>
            <wp:docPr id="2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Pr="00CE7AA2" w:rsidRDefault="00CE7AA2" w:rsidP="00117D6E">
      <w:pPr>
        <w:pStyle w:val="aa"/>
        <w:spacing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color w:val="212529"/>
          <w:sz w:val="28"/>
          <w:szCs w:val="28"/>
        </w:rPr>
        <w:t>По сравнению с 70-ми годами 20-го века посевная площадь в России снизилась больше чем в полтора раза: с 133 до 80 млн га в 2020-м.</w:t>
      </w:r>
    </w:p>
    <w:p w:rsidR="00B53FD6" w:rsidRPr="00CE7AA2" w:rsidRDefault="00CE7AA2" w:rsidP="00117D6E">
      <w:pPr>
        <w:pStyle w:val="aa"/>
        <w:spacing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color w:val="212529"/>
          <w:sz w:val="28"/>
          <w:szCs w:val="28"/>
        </w:rPr>
        <w:t>По мнению экспертов аграрного сектора, главный фактор, из-за которого перестали использовать земли – экономическая невыгодность. Там, где земля дает скудный урожай и требует постоянного затратного ухода, сеять перестали. Кроме того, у многих сельхозпроизводителей просто не хватает основного и оборотного капитала, чтобы поддерживать прежние объемы сева.</w:t>
      </w:r>
    </w:p>
    <w:p w:rsidR="00B53FD6" w:rsidRPr="00CE7AA2" w:rsidRDefault="00CE7AA2" w:rsidP="00117D6E">
      <w:pPr>
        <w:pStyle w:val="aa"/>
        <w:spacing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sz w:val="28"/>
          <w:szCs w:val="28"/>
        </w:rPr>
        <w:t>Стадии запустения залежных земель.</w:t>
      </w:r>
    </w:p>
    <w:p w:rsidR="00B53FD6" w:rsidRPr="00CE7AA2" w:rsidRDefault="00CE7AA2" w:rsidP="00117D6E">
      <w:pPr>
        <w:pStyle w:val="aa"/>
        <w:spacing w:line="360" w:lineRule="auto"/>
        <w:rPr>
          <w:rFonts w:cs="Times New Roman"/>
          <w:sz w:val="28"/>
          <w:szCs w:val="28"/>
        </w:rPr>
      </w:pPr>
      <w:r w:rsidRPr="00CE7AA2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14BA7C6" wp14:editId="6E700C47">
            <wp:extent cx="3743325" cy="2483485"/>
            <wp:effectExtent l="0" t="0" r="0" b="0"/>
            <wp:docPr id="3" name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Pr="00CE7AA2" w:rsidRDefault="00CE7AA2" w:rsidP="00117D6E">
      <w:pPr>
        <w:pStyle w:val="aa"/>
        <w:spacing w:before="0" w:after="0" w:line="360" w:lineRule="auto"/>
        <w:jc w:val="both"/>
        <w:rPr>
          <w:rFonts w:cs="Times New Roman"/>
          <w:sz w:val="28"/>
          <w:szCs w:val="28"/>
        </w:rPr>
      </w:pPr>
      <w:r w:rsidRPr="00CE7AA2">
        <w:rPr>
          <w:rFonts w:cs="Times New Roman"/>
          <w:color w:val="212529"/>
          <w:sz w:val="28"/>
          <w:szCs w:val="28"/>
        </w:rPr>
        <w:t>Чем больше лет прошло с момента окончания пахоты, тем больше потребуется денег и времени на освоение залежных земель и возврат их в оборот. По сути, на поздних стадиях поля ничем не отличаются от целины.</w:t>
      </w:r>
    </w:p>
    <w:p w:rsidR="00B53FD6" w:rsidRPr="00CE7AA2" w:rsidRDefault="00CE7AA2" w:rsidP="00117D6E">
      <w:pPr>
        <w:pStyle w:val="aa"/>
        <w:spacing w:before="0" w:after="0" w:line="360" w:lineRule="auto"/>
        <w:rPr>
          <w:rFonts w:cs="Times New Roman"/>
          <w:sz w:val="28"/>
          <w:szCs w:val="28"/>
        </w:rPr>
      </w:pPr>
      <w:r w:rsidRPr="00CE7AA2">
        <w:rPr>
          <w:rFonts w:cs="Times New Roman"/>
          <w:color w:val="212529"/>
          <w:sz w:val="28"/>
          <w:szCs w:val="28"/>
        </w:rPr>
        <w:t>Агрономы делят залежные земли на несколько стадий запущенности:</w:t>
      </w:r>
    </w:p>
    <w:p w:rsidR="00B53FD6" w:rsidRPr="00CE7AA2" w:rsidRDefault="00CE7AA2" w:rsidP="00117D6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color w:val="212529"/>
          <w:sz w:val="28"/>
          <w:szCs w:val="28"/>
        </w:rPr>
        <w:t>1 стадия, 1–5 лет. Поле начинает зарастать сорняками, появляются одиночные молодые кустарники и деревья.</w:t>
      </w:r>
    </w:p>
    <w:p w:rsidR="00B53FD6" w:rsidRPr="00CE7AA2" w:rsidRDefault="00CE7AA2" w:rsidP="00117D6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color w:val="212529"/>
          <w:sz w:val="28"/>
          <w:szCs w:val="28"/>
        </w:rPr>
        <w:t>2 стадия, 5–10 лет. Густой травяной покров, количество деревьев возрастает, они достигают 6–7 м.</w:t>
      </w:r>
    </w:p>
    <w:p w:rsidR="00B53FD6" w:rsidRPr="00CE7AA2" w:rsidRDefault="00CE7AA2" w:rsidP="00117D6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color w:val="212529"/>
          <w:sz w:val="28"/>
          <w:szCs w:val="28"/>
        </w:rPr>
        <w:t>3 стадия, 10–15 лет. На бывшем поле много разновозрастных кустарников и деревьев.</w:t>
      </w:r>
    </w:p>
    <w:p w:rsidR="00B53FD6" w:rsidRPr="00CE7AA2" w:rsidRDefault="00CE7AA2" w:rsidP="00117D6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color w:val="212529"/>
          <w:sz w:val="28"/>
          <w:szCs w:val="28"/>
        </w:rPr>
        <w:t xml:space="preserve">4 стадия, более 15 лет. На участке растет молодой лес. </w:t>
      </w:r>
      <w:r w:rsidR="00286B30" w:rsidRPr="00CE7AA2">
        <w:rPr>
          <w:rFonts w:ascii="Times New Roman" w:hAnsi="Times New Roman" w:cs="Times New Roman"/>
          <w:b/>
          <w:bCs/>
          <w:sz w:val="28"/>
          <w:szCs w:val="28"/>
        </w:rPr>
        <w:t>[6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]</w:t>
      </w:r>
    </w:p>
    <w:p w:rsidR="00B53FD6" w:rsidRPr="00CE7AA2" w:rsidRDefault="00B53FD6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1.3 Климатические условия  Скопинского района.</w:t>
      </w:r>
    </w:p>
    <w:p w:rsidR="00B53FD6" w:rsidRPr="00CE7AA2" w:rsidRDefault="00CE7AA2" w:rsidP="00117D6E">
      <w:pPr>
        <w:pStyle w:val="ac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Климат района умеренно-континентальный, с умеренно-теплым, часто сухим летом, умеренно-холодной зимой, короткой весной и облачной, часто дождливой, осенью при ясно выраженных сезонах года. Господствующими ветрами весной и зимой являются юго-западные ветры.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53FD6" w:rsidRPr="00CE7AA2" w:rsidRDefault="00B53FD6" w:rsidP="00117D6E">
      <w:pPr>
        <w:pStyle w:val="ac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pStyle w:val="ac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>По агроклиматическому районированию Рязанской области Скопинский район находится во втором районе, характеризующемся: умеренно – континентальным климатом с умеренно-холодной зимой и теплым летом: средняя годовая температура января от -22°С до -25°С, а средняя температура воздуха июля +25°С.</w:t>
      </w:r>
    </w:p>
    <w:p w:rsidR="00B53FD6" w:rsidRPr="00CE7AA2" w:rsidRDefault="00CE7AA2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Период активной вегетации растений (с температурой выше 10°C) составляет 140 – 144 дня.</w:t>
      </w:r>
    </w:p>
    <w:p w:rsidR="00B53FD6" w:rsidRPr="00CE7AA2" w:rsidRDefault="00CE7AA2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Продолжительность безморозного периода с суммой температур       2600 – 2700°С составляет 213 – 218 дней, начало снеготаяния в среднем приходится на вторую декаду марта, окончание – на первую декаду апреля.</w:t>
      </w:r>
    </w:p>
    <w:p w:rsidR="00B53FD6" w:rsidRPr="00CE7AA2" w:rsidRDefault="00CE7AA2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Дата полного оттаивания почв колеблется от первой декады апреля до первой декады мая. Переход среднесуточной температуры воздуха через 0°С происходит в начале апреля, через 5°С – в конце его второй декады апреля; через 10°С – в начале мая.</w:t>
      </w:r>
    </w:p>
    <w:p w:rsidR="00B53FD6" w:rsidRPr="00CE7AA2" w:rsidRDefault="00CE7AA2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В зимнее время почва промерзает на относительно небольшую глубину 70 – 80 см.</w:t>
      </w:r>
    </w:p>
    <w:p w:rsidR="00B53FD6" w:rsidRPr="00CE7AA2" w:rsidRDefault="00CE7AA2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По количеству выпавших осадков считается районом с достаточным увлажнением. Среднегодовое количество осадков около 560 мм, с колебаниями в отдельные годы от 200 до 800 мм.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[2]</w:t>
      </w:r>
    </w:p>
    <w:p w:rsidR="00117D6E" w:rsidRPr="00CE7AA2" w:rsidRDefault="00117D6E" w:rsidP="00117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1.4 Особенности почв Скопинского района 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На территории района преимущественно преобладают выщелоченные глинистые и суглинистые черноземы. Значительную территорию занимают также лесные темно-серые и серые лесные почвы глинистого и суглинистого механического состава. Встречаются также участки сильно выщелоченных и оподзоленных черноземов и пойменные земли с суглинистыми и глинистыми почвами вдоль рек Ранова и Верда. Черноземы распространены в западной части района. Они хорошо гумусированы, насыщены основаниями, </w:t>
      </w:r>
      <w:r w:rsidRPr="00CE7AA2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обеспечены элементами питания растений, обладают благоприятными водно-физическими свойствами. Немного менее плодородны серые и лесные темно-серые почвы, распространенные в восточной части района. При использовании в сельском хозяйстве они нуждаются во внесении минеральных и органических удобрений. Почвенные и климатические условия благоприятны для сельскохозяйственного производства. </w:t>
      </w:r>
    </w:p>
    <w:p w:rsidR="00B53FD6" w:rsidRPr="00CE7AA2" w:rsidRDefault="00CE7AA2" w:rsidP="00117D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1.5. Характеристика  исследуемой территории.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iCs/>
          <w:sz w:val="28"/>
          <w:szCs w:val="28"/>
        </w:rPr>
        <w:t>Дубрава «Заклятой лес» располагается в 2 км к югу от села Корневое  и в 3,6 км к северу от села Секирино Скопинского района</w:t>
      </w:r>
      <w:r w:rsidRPr="00CE7AA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(рис.1.Приложение 1)</w:t>
      </w:r>
      <w:r w:rsidR="00534821">
        <w:rPr>
          <w:rFonts w:ascii="Times New Roman" w:hAnsi="Times New Roman" w:cs="Times New Roman"/>
          <w:iCs/>
          <w:sz w:val="28"/>
          <w:szCs w:val="28"/>
        </w:rPr>
        <w:t xml:space="preserve">Площадь дубравы -65 га </w:t>
      </w:r>
      <w:r w:rsidRPr="00CE7AA2">
        <w:rPr>
          <w:rFonts w:ascii="Times New Roman" w:hAnsi="Times New Roman" w:cs="Times New Roman"/>
          <w:iCs/>
          <w:sz w:val="28"/>
          <w:szCs w:val="28"/>
        </w:rPr>
        <w:t xml:space="preserve"> Залежная земля расположена в 100 метрах от леса с южной стороны.</w:t>
      </w: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286B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2.Методика исследования. Методы исследования.</w:t>
      </w:r>
    </w:p>
    <w:p w:rsidR="00B53FD6" w:rsidRPr="00CE7AA2" w:rsidRDefault="00CE7AA2" w:rsidP="00117D6E">
      <w:pPr>
        <w:pStyle w:val="ac"/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При исследовании физико-химического состояния почвы применяли следующие методы: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-наблюдение;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-эксперимент;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-сравнение;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-математическая обработка  полученных результатов.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Исследования физико–химического состояния почвы проводили по методическим рекомендациям Т. Я Ашихминой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[1]</w:t>
      </w:r>
      <w:r w:rsidRPr="00CE7AA2">
        <w:rPr>
          <w:rFonts w:ascii="Times New Roman" w:hAnsi="Times New Roman" w:cs="Times New Roman"/>
          <w:sz w:val="28"/>
          <w:szCs w:val="28"/>
        </w:rPr>
        <w:t xml:space="preserve"> и А. И.   Федоровой.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[4]</w:t>
      </w:r>
      <w:r w:rsidRPr="00CE7AA2">
        <w:rPr>
          <w:rFonts w:ascii="Times New Roman" w:hAnsi="Times New Roman" w:cs="Times New Roman"/>
          <w:sz w:val="28"/>
          <w:szCs w:val="28"/>
        </w:rPr>
        <w:t>, а</w:t>
      </w:r>
      <w:r w:rsidR="00C33D14">
        <w:rPr>
          <w:rFonts w:ascii="Times New Roman" w:hAnsi="Times New Roman" w:cs="Times New Roman"/>
          <w:sz w:val="28"/>
          <w:szCs w:val="28"/>
        </w:rPr>
        <w:t xml:space="preserve"> опыт по  дыханию</w:t>
      </w:r>
      <w:r w:rsidRPr="00CE7AA2">
        <w:rPr>
          <w:rFonts w:ascii="Times New Roman" w:hAnsi="Times New Roman" w:cs="Times New Roman"/>
          <w:sz w:val="28"/>
          <w:szCs w:val="28"/>
        </w:rPr>
        <w:t xml:space="preserve"> почвы проводили  по методике Н. Г.Федорец.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[3]</w:t>
      </w:r>
    </w:p>
    <w:p w:rsidR="00B53FD6" w:rsidRPr="00CE7AA2" w:rsidRDefault="00AB6853" w:rsidP="00117D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r w:rsidR="00CE7AA2" w:rsidRPr="00CE7AA2">
        <w:rPr>
          <w:rFonts w:ascii="Times New Roman" w:hAnsi="Times New Roman" w:cs="Times New Roman"/>
          <w:b/>
          <w:bCs/>
          <w:sz w:val="28"/>
          <w:szCs w:val="28"/>
        </w:rPr>
        <w:t>исследования.</w:t>
      </w:r>
    </w:p>
    <w:p w:rsidR="00B53FD6" w:rsidRPr="00CE7AA2" w:rsidRDefault="00CE7AA2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2.1 Отбор пробы почвы с иссле</w:t>
      </w:r>
      <w:r w:rsidR="00EE2087">
        <w:rPr>
          <w:rFonts w:ascii="Times New Roman" w:hAnsi="Times New Roman" w:cs="Times New Roman"/>
          <w:b/>
          <w:bCs/>
          <w:sz w:val="28"/>
          <w:szCs w:val="28"/>
        </w:rPr>
        <w:t>дуемой территории. Приготовление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почвенной вытяжки.</w:t>
      </w:r>
    </w:p>
    <w:p w:rsidR="00B53FD6" w:rsidRPr="00CE7AA2" w:rsidRDefault="00B53FD6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AB6853" w:rsidRDefault="00CE7AA2" w:rsidP="00117D6E">
      <w:pPr>
        <w:pStyle w:val="HTML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AA2">
        <w:rPr>
          <w:rFonts w:ascii="Times New Roman" w:hAnsi="Times New Roman" w:cs="Times New Roman"/>
          <w:color w:val="424242"/>
          <w:sz w:val="28"/>
          <w:szCs w:val="28"/>
        </w:rPr>
        <w:t xml:space="preserve">        </w:t>
      </w:r>
      <w:r w:rsidRPr="00AB6853">
        <w:rPr>
          <w:rFonts w:ascii="Times New Roman" w:hAnsi="Times New Roman" w:cs="Times New Roman"/>
          <w:i/>
          <w:sz w:val="28"/>
          <w:szCs w:val="28"/>
        </w:rPr>
        <w:t>Отбор почвенных образцов провели 15 мая. Почву на многолетней залежи отбирали с глубины до 10 см;</w:t>
      </w:r>
      <w:r w:rsidR="0099681D" w:rsidRPr="00AB6853">
        <w:rPr>
          <w:rFonts w:ascii="Times New Roman" w:hAnsi="Times New Roman" w:cs="Times New Roman"/>
          <w:i/>
          <w:sz w:val="28"/>
          <w:szCs w:val="28"/>
        </w:rPr>
        <w:t xml:space="preserve"> ( Образец № 2)</w:t>
      </w:r>
      <w:r w:rsidR="00436C76" w:rsidRPr="00AB6853">
        <w:rPr>
          <w:rFonts w:ascii="Times New Roman" w:hAnsi="Times New Roman" w:cs="Times New Roman"/>
          <w:i/>
          <w:sz w:val="28"/>
          <w:szCs w:val="28"/>
        </w:rPr>
        <w:t>,</w:t>
      </w:r>
      <w:r w:rsidRPr="00AB6853">
        <w:rPr>
          <w:rFonts w:ascii="Times New Roman" w:hAnsi="Times New Roman" w:cs="Times New Roman"/>
          <w:i/>
          <w:sz w:val="28"/>
          <w:szCs w:val="28"/>
        </w:rPr>
        <w:t xml:space="preserve"> на территории широколиствен</w:t>
      </w:r>
      <w:r w:rsidR="00EE2087" w:rsidRPr="00AB6853">
        <w:rPr>
          <w:rFonts w:ascii="Times New Roman" w:hAnsi="Times New Roman" w:cs="Times New Roman"/>
          <w:i/>
          <w:sz w:val="28"/>
          <w:szCs w:val="28"/>
        </w:rPr>
        <w:t>ного леса – из лесной подстилки.</w:t>
      </w:r>
      <w:r w:rsidR="0099681D">
        <w:rPr>
          <w:rFonts w:ascii="Times New Roman" w:hAnsi="Times New Roman" w:cs="Times New Roman"/>
          <w:sz w:val="28"/>
          <w:szCs w:val="28"/>
        </w:rPr>
        <w:t xml:space="preserve"> (Образец № 1)</w:t>
      </w:r>
      <w:r w:rsidR="00436C76">
        <w:rPr>
          <w:rFonts w:ascii="Times New Roman" w:hAnsi="Times New Roman" w:cs="Times New Roman"/>
          <w:sz w:val="28"/>
          <w:szCs w:val="28"/>
        </w:rPr>
        <w:t>.</w:t>
      </w:r>
      <w:r w:rsidRPr="00CE7AA2">
        <w:rPr>
          <w:rFonts w:ascii="Times New Roman" w:hAnsi="Times New Roman" w:cs="Times New Roman"/>
          <w:sz w:val="28"/>
          <w:szCs w:val="28"/>
        </w:rPr>
        <w:t xml:space="preserve"> </w:t>
      </w:r>
      <w:r w:rsidRPr="00AB6853">
        <w:rPr>
          <w:rFonts w:ascii="Times New Roman" w:hAnsi="Times New Roman" w:cs="Times New Roman"/>
          <w:i/>
          <w:color w:val="424242"/>
          <w:sz w:val="28"/>
          <w:szCs w:val="28"/>
        </w:rPr>
        <w:t xml:space="preserve">Почвенную вытяжку получили следующим образом: </w:t>
      </w:r>
      <w:r w:rsidRPr="00AB6853">
        <w:rPr>
          <w:rFonts w:ascii="Times New Roman" w:hAnsi="Times New Roman" w:cs="Times New Roman"/>
          <w:i/>
          <w:sz w:val="28"/>
          <w:szCs w:val="28"/>
        </w:rPr>
        <w:t xml:space="preserve"> 20 г воздушно-сухой просеянной почвы обоих образцов поместили в колбы на 100 мл, добавили 50 мл дистиллированной воды, взболтав в течение 5–10 мин, профильтровали.(Приложение 2. Рис 2).</w:t>
      </w:r>
    </w:p>
    <w:p w:rsidR="00B53FD6" w:rsidRPr="00CE7AA2" w:rsidRDefault="00B53FD6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pStyle w:val="ad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2.2 Физический анализ исследуемой почвы.</w:t>
      </w:r>
    </w:p>
    <w:p w:rsidR="00B53FD6" w:rsidRPr="00AB6853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B6853">
        <w:rPr>
          <w:rFonts w:ascii="Times New Roman" w:hAnsi="Times New Roman" w:cs="Times New Roman"/>
          <w:i/>
          <w:sz w:val="28"/>
          <w:szCs w:val="28"/>
        </w:rPr>
        <w:t>Для описания физических свойств мы исследовали механический и минеральный состав, структуру, влагоемкость, водопроницаемость и содержание воздуха в почвенном об</w:t>
      </w:r>
      <w:r w:rsidR="00286B30" w:rsidRPr="00AB6853">
        <w:rPr>
          <w:rFonts w:ascii="Times New Roman" w:hAnsi="Times New Roman" w:cs="Times New Roman"/>
          <w:i/>
          <w:sz w:val="28"/>
          <w:szCs w:val="28"/>
        </w:rPr>
        <w:t>разце.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 xml:space="preserve">       Опыт №1 «Определение механического и минерального состава почвы».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Для определения использовали два метода: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"Сухой" метод: небольшое количество сухой почвы (несколько зерен) разминается пальцами и растирается на ладони руки. В почвах тяжелых по гранулометрическому составу – глинистых, тяжелосуглинистых - структурные отдельности ребристы, раздавливаются с трудом; при растирании большая часть втирается в кожу ладони, а при сбрасывании получается пыльное "облако". Структурные отдельности почвы более легкого гранулометрического состава легко раздавливаются, при растирании лишь небольшая доля частиц втирается в кожу ладони, ощущаются песчаные частицы.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"Мокрый" метод:  метод скатывания в шнур.  Берут 3 – 4 г почвы и увлажняют  до состояния густой пасты (вода при этом из почвы не отжимается). Хорошо размятую и перемешанную в руках почву раскатывают на ладонях в шнур, затем сворачивают в кольцо диаметром примерно 3 см. В зависимости от механического состава почвы шнур при скатывании принимает различный вид. Визуально оценивают признаки:   шнур не образуется - песок, зачатки шнура - супесь, шнур, дробящийся при раскатывании - легкий суглинок , шнур сплошной, кольцо распадающееся при свертывании, - средний суглинок, шнур сплошной, кольцо с трещинами,  - тяжелый суглинок , шнур сплошной,  кольцо стойкое - глина.(Приложение 3. Рис.3)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Ход работы: небольшое количество сухой почвы размяли пальцами, растерли на ладони. Рассмотрели, что при этом произошло.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Взяли немного почвы, слегка увлажнили её до консистенции густой вязкой массы, скатали в ладонях в шарик, раскатали в шнур и согнули в кольцо.  (Приложение 4 . Рис 4). Рассмотрели, что при этом произошло, сравнили результат с рисунком (Приложение 3. Рис.3).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  Опыт №2  «Определение структуры почвы».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 xml:space="preserve">Взяли немного почвы, положили в чашку Петри и рассмотрели ее структуру. Добавили воду и наблюдали, как  изменилась масса  (Приложение 5.Рис 5.). 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Опыт №3 «Определение влагоемкости почвы». Отмерили равное количество почвы обоих образцов, затем прокалили почву до постоянной массы, снова взвесили. Влагоемкость рассчитали по формуле: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E7AA2">
        <w:rPr>
          <w:rFonts w:ascii="Times New Roman" w:hAnsi="Times New Roman" w:cs="Times New Roman"/>
          <w:sz w:val="28"/>
          <w:szCs w:val="28"/>
        </w:rPr>
        <w:t>=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7AA2">
        <w:rPr>
          <w:rFonts w:ascii="Times New Roman" w:hAnsi="Times New Roman" w:cs="Times New Roman"/>
          <w:sz w:val="28"/>
          <w:szCs w:val="28"/>
        </w:rPr>
        <w:t>1-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7AA2">
        <w:rPr>
          <w:rFonts w:ascii="Times New Roman" w:hAnsi="Times New Roman" w:cs="Times New Roman"/>
          <w:sz w:val="28"/>
          <w:szCs w:val="28"/>
        </w:rPr>
        <w:t>2\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7AA2">
        <w:rPr>
          <w:rFonts w:ascii="Times New Roman" w:hAnsi="Times New Roman" w:cs="Times New Roman"/>
          <w:sz w:val="28"/>
          <w:szCs w:val="28"/>
        </w:rPr>
        <w:t xml:space="preserve">2*100%, где  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7AA2">
        <w:rPr>
          <w:rFonts w:ascii="Times New Roman" w:hAnsi="Times New Roman" w:cs="Times New Roman"/>
          <w:sz w:val="28"/>
          <w:szCs w:val="28"/>
        </w:rPr>
        <w:t xml:space="preserve">1 – масса почвы до прокаливания,  </w:t>
      </w:r>
      <w:r w:rsidRPr="00CE7A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7AA2">
        <w:rPr>
          <w:rFonts w:ascii="Times New Roman" w:hAnsi="Times New Roman" w:cs="Times New Roman"/>
          <w:sz w:val="28"/>
          <w:szCs w:val="28"/>
        </w:rPr>
        <w:t>2 — масса почвы после прокаливания.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Опыт №4 «Определение водопроницаемости почвы»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В цилиндр поместили образец почвы высотой 20 см, перевернули его вверх дном  в кристаллизатор, в который  налили  примерно 100 мл  воды.   Отметили время, за  которое вода полностью впиталась в почву (Приложение 6. Рис 6).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Опыт №5 «Определение содержания воздуха в почвенном образце».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Отобрали цилиндрический образец почвы. Поместили образец в сосуд с водой и наблюдали, как выделяется из почвы воздух, замещаясь водой (Приложение 7.Рис 7).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Определили: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- время, в течение которого выделялся воздух;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- величины пузырьков ;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интенсивность выделения воздуха.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Опыт №6 «Дыхание почвы».</w:t>
      </w:r>
    </w:p>
    <w:p w:rsidR="00B53FD6" w:rsidRPr="00CE7AA2" w:rsidRDefault="00CE7AA2" w:rsidP="00117D6E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Взвесили по </w:t>
      </w:r>
      <w:r w:rsidR="00EE2087">
        <w:rPr>
          <w:rFonts w:ascii="Times New Roman" w:hAnsi="Times New Roman" w:cs="Times New Roman"/>
          <w:sz w:val="28"/>
          <w:szCs w:val="28"/>
        </w:rPr>
        <w:t>30г почвенных образцов.</w:t>
      </w:r>
      <w:r w:rsidR="00EE2087">
        <w:rPr>
          <w:rFonts w:ascii="Times New Roman" w:hAnsi="Times New Roman" w:cs="Times New Roman"/>
          <w:sz w:val="28"/>
          <w:szCs w:val="28"/>
        </w:rPr>
        <w:br/>
        <w:t> В колбу</w:t>
      </w:r>
      <w:r w:rsidRPr="00CE7AA2">
        <w:rPr>
          <w:rFonts w:ascii="Times New Roman" w:hAnsi="Times New Roman" w:cs="Times New Roman"/>
          <w:sz w:val="28"/>
          <w:szCs w:val="28"/>
        </w:rPr>
        <w:t xml:space="preserve"> на 250 мл прилили 25 мл 0,05н гидроксида бария и закрепили пробкой, с подвешенным </w:t>
      </w:r>
      <w:r w:rsidR="00EE2087">
        <w:rPr>
          <w:rFonts w:ascii="Times New Roman" w:hAnsi="Times New Roman" w:cs="Times New Roman"/>
          <w:sz w:val="28"/>
          <w:szCs w:val="28"/>
        </w:rPr>
        <w:t xml:space="preserve">к ней дышащим материалом. Вначале провели опыт с почвой леса, затем с почвой залежной земли.  </w:t>
      </w:r>
      <w:r w:rsidRPr="00CE7AA2">
        <w:rPr>
          <w:rFonts w:ascii="Times New Roman" w:hAnsi="Times New Roman" w:cs="Times New Roman"/>
          <w:sz w:val="28"/>
          <w:szCs w:val="28"/>
        </w:rPr>
        <w:t xml:space="preserve"> Время экспозиции - 3 часа. В контрольном опыте то же, но уже без почвы. Опыт проводится для учета углекислоты воздуха, находящегося в сосуде. В течение опыта периодически встряхивали сосуд с целью разрушения образующейся плёнки карбоната бария, мешающей дальнейшему поглоще</w:t>
      </w:r>
      <w:r w:rsidR="00F85C33">
        <w:rPr>
          <w:rFonts w:ascii="Times New Roman" w:hAnsi="Times New Roman" w:cs="Times New Roman"/>
          <w:sz w:val="28"/>
          <w:szCs w:val="28"/>
        </w:rPr>
        <w:t xml:space="preserve">нию углекислоты. (Приложение </w:t>
      </w:r>
      <w:r w:rsidRPr="00CE7AA2">
        <w:rPr>
          <w:rFonts w:ascii="Times New Roman" w:hAnsi="Times New Roman" w:cs="Times New Roman"/>
          <w:sz w:val="28"/>
          <w:szCs w:val="28"/>
        </w:rPr>
        <w:t xml:space="preserve"> 7</w:t>
      </w:r>
      <w:r w:rsidR="00F85C33">
        <w:rPr>
          <w:rFonts w:ascii="Times New Roman" w:hAnsi="Times New Roman" w:cs="Times New Roman"/>
          <w:sz w:val="28"/>
          <w:szCs w:val="28"/>
        </w:rPr>
        <w:t xml:space="preserve">. </w:t>
      </w:r>
      <w:r w:rsidR="00F85C33">
        <w:rPr>
          <w:rFonts w:ascii="Times New Roman" w:hAnsi="Times New Roman" w:cs="Times New Roman"/>
          <w:sz w:val="28"/>
          <w:szCs w:val="28"/>
        </w:rPr>
        <w:lastRenderedPageBreak/>
        <w:t>Рис. 7</w:t>
      </w:r>
      <w:r w:rsidRPr="00CE7AA2">
        <w:rPr>
          <w:rFonts w:ascii="Times New Roman" w:hAnsi="Times New Roman" w:cs="Times New Roman"/>
          <w:sz w:val="28"/>
          <w:szCs w:val="28"/>
        </w:rPr>
        <w:t xml:space="preserve">)   </w:t>
      </w:r>
      <w:r w:rsidRPr="00CE7AA2">
        <w:rPr>
          <w:rFonts w:ascii="Times New Roman" w:hAnsi="Times New Roman" w:cs="Times New Roman"/>
          <w:sz w:val="28"/>
          <w:szCs w:val="28"/>
        </w:rPr>
        <w:br/>
        <w:t>По окончанию опыта избыток гидро</w:t>
      </w:r>
      <w:r w:rsidR="00F85C33">
        <w:rPr>
          <w:rFonts w:ascii="Times New Roman" w:hAnsi="Times New Roman" w:cs="Times New Roman"/>
          <w:sz w:val="28"/>
          <w:szCs w:val="28"/>
        </w:rPr>
        <w:t xml:space="preserve">ксида бария в присутствии </w:t>
      </w:r>
      <w:r w:rsidRPr="00CE7AA2">
        <w:rPr>
          <w:rFonts w:ascii="Times New Roman" w:hAnsi="Times New Roman" w:cs="Times New Roman"/>
          <w:sz w:val="28"/>
          <w:szCs w:val="28"/>
        </w:rPr>
        <w:t>двух капель фенолфталеина оттитровывали 0,05н раствором соляной кислотой. Разница в миллилитрах соляной кислоты, пошедшей на титрование контроля и опыта, даёт количество углекислоты, выделенной дышащим материалом</w:t>
      </w:r>
    </w:p>
    <w:p w:rsidR="00B53FD6" w:rsidRPr="00CE7AA2" w:rsidRDefault="00B53FD6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2.3 Химический анализ исследуемой почвы.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 В качестве параметров для химического анализа использовались следующие: оценка кислотности почвы, оценка богатства почвы органическими веществами, определение засоленности почвы, определение присутствия тяжелых металлов.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3.3.1.«Определение рН почвенной вытяжки».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рН определили с помощью цифровой лаборатории, полученной  по проекту « Точка роста». Для этого поместили датчик рн в почвенную вытяжку и отображение показателя увидели на экране. (Приложение 8 .Рис 8).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3.3.2. «Определение содержания гумуса в почве».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В банку поместили образец почвы объемом около 0,3 л. залили его водой и довели уровень воды в сосуде до объема примерно 1 л. Содержимое банки взболтали перемешиванием для смачивания почвы и выхода пузырьков воздуха. Дождались расслоения взвеси, после чего измерили линейкой значения высоты слоев отстоявшейся и всплывшей почвы (Приложение 9.Рис 9).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Рассчитали содержание гумуса по формуле : h верхн/ h нижн *100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3.3.3. «Изучение засоленности почвы».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Обнаружение карбонат-ионов: в фарфоровую чашку с исследуемой почвой добавили концентри</w:t>
      </w:r>
      <w:r w:rsidR="00F85C33">
        <w:rPr>
          <w:rFonts w:ascii="Times New Roman" w:hAnsi="Times New Roman" w:cs="Times New Roman"/>
          <w:sz w:val="28"/>
          <w:szCs w:val="28"/>
        </w:rPr>
        <w:t xml:space="preserve">рованную соляную кислоту. </w:t>
      </w:r>
      <w:r w:rsidRPr="00CE7AA2">
        <w:rPr>
          <w:rFonts w:ascii="Times New Roman" w:hAnsi="Times New Roman" w:cs="Times New Roman"/>
          <w:sz w:val="28"/>
          <w:szCs w:val="28"/>
        </w:rPr>
        <w:t xml:space="preserve"> (Приложение 10.Рис 10). При наличии карбонат –ионов наблюдается выделение углекислого газа: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2Н</w:t>
      </w:r>
      <w:r w:rsidRPr="00CE7AA2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Pr="00CE7AA2">
        <w:rPr>
          <w:rFonts w:ascii="Times New Roman" w:hAnsi="Times New Roman" w:cs="Times New Roman"/>
          <w:sz w:val="28"/>
          <w:szCs w:val="28"/>
        </w:rPr>
        <w:t>+ СО</w:t>
      </w:r>
      <w:r w:rsidRPr="00CE7AA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E7A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7AA2">
        <w:rPr>
          <w:rFonts w:ascii="Times New Roman" w:hAnsi="Times New Roman" w:cs="Times New Roman"/>
          <w:sz w:val="28"/>
          <w:szCs w:val="28"/>
        </w:rPr>
        <w:t>- = Н</w:t>
      </w:r>
      <w:r w:rsidRPr="00CE7A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7AA2">
        <w:rPr>
          <w:rFonts w:ascii="Times New Roman" w:hAnsi="Times New Roman" w:cs="Times New Roman"/>
          <w:sz w:val="28"/>
          <w:szCs w:val="28"/>
        </w:rPr>
        <w:t>О + СО</w:t>
      </w:r>
      <w:r w:rsidRPr="00CE7AA2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>Содержание карбонат – ионов в % определили по вскипанию: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-бурное – более 10</w:t>
      </w:r>
    </w:p>
    <w:p w:rsidR="00B53FD6" w:rsidRPr="00CE7AA2" w:rsidRDefault="00F85C33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-сильное, продолжительное – 5 -</w:t>
      </w:r>
      <w:r w:rsidR="00CE7AA2" w:rsidRPr="00CE7AA2">
        <w:rPr>
          <w:rFonts w:ascii="Times New Roman" w:hAnsi="Times New Roman" w:cs="Times New Roman"/>
          <w:sz w:val="28"/>
          <w:szCs w:val="28"/>
        </w:rPr>
        <w:t>10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заметное</w:t>
      </w:r>
      <w:r w:rsidRPr="00CE7AA2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CE7AA2">
        <w:rPr>
          <w:rFonts w:ascii="Times New Roman" w:hAnsi="Times New Roman" w:cs="Times New Roman"/>
          <w:sz w:val="28"/>
          <w:szCs w:val="28"/>
        </w:rPr>
        <w:t>но кратковременное-3 -</w:t>
      </w:r>
      <w:r w:rsidR="00F85C33">
        <w:rPr>
          <w:rFonts w:ascii="Times New Roman" w:hAnsi="Times New Roman" w:cs="Times New Roman"/>
          <w:sz w:val="28"/>
          <w:szCs w:val="28"/>
        </w:rPr>
        <w:t xml:space="preserve"> </w:t>
      </w:r>
      <w:r w:rsidRPr="00CE7AA2">
        <w:rPr>
          <w:rFonts w:ascii="Times New Roman" w:hAnsi="Times New Roman" w:cs="Times New Roman"/>
          <w:sz w:val="28"/>
          <w:szCs w:val="28"/>
        </w:rPr>
        <w:t>4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-слабое и кратковременное 2-3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-очень слабое 1-2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-вскипание отсутствует- менее 1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Обнаружение сульфат-ионов: к 5 мл фильтрата добавили несколько капель концентрированной соляной кислоты и 2–3 мл 20% раствора хлорида бария. Если образующийся сульфат бария выпадает в виде белого мелкокристаллического осадка, это говорит о присутствии сульфатов в количестве нескольких десятых долей процента и более. Помутнение раствора также указывает на содержание сульфатов – сотые доли процента. Слабое помутнение, заметное лишь на черном фоне, бывает при незначительном содержании сульфатов – тысячные доли процента. (Приложение 11. Рис. 11)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Обнаружение сульфит-ионов: в пробирку с почвенным раствором добавили по каплям спиртовой раствор йода. ( Приложение 12. Рис. 12.). При наличии сульфит- ионов наблюдается выпадение белого осадка. 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Обнаружение  хлорид-ионов: к 5 мл фильтрата, помещенного в пробирку, прибавили несколько капель 10% раствора азотной кислоты и по</w:t>
      </w:r>
      <w:r w:rsidR="00F85C33">
        <w:rPr>
          <w:rFonts w:ascii="Times New Roman" w:hAnsi="Times New Roman" w:cs="Times New Roman"/>
          <w:sz w:val="28"/>
          <w:szCs w:val="28"/>
        </w:rPr>
        <w:t xml:space="preserve"> каплям 0,1 М раствор нитрата </w:t>
      </w:r>
      <w:r w:rsidRPr="00CE7AA2">
        <w:rPr>
          <w:rFonts w:ascii="Times New Roman" w:hAnsi="Times New Roman" w:cs="Times New Roman"/>
          <w:sz w:val="28"/>
          <w:szCs w:val="28"/>
        </w:rPr>
        <w:t xml:space="preserve"> серебра. Образующийся осадок в виде белых хлопьев указывает на присутствие хлоридов в количестве десятых долей процента и более. При содержании сотых и тысячных долей процента хлоридов осадка не выпадает, но раствор мутнеет . (Приложение 13. Рис.13)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Обнаружение ионов натрия: . О присутствии натрия в почве судят по ярко-желтому окрашиванию пламени горелки при внесении в него стеклянной палочки с каплей раствора почвенной вытяжки. Стеклянную палочку </w:t>
      </w:r>
      <w:r w:rsidRPr="00CE7AA2">
        <w:rPr>
          <w:rFonts w:ascii="Times New Roman" w:hAnsi="Times New Roman" w:cs="Times New Roman"/>
          <w:sz w:val="28"/>
          <w:szCs w:val="28"/>
        </w:rPr>
        <w:lastRenderedPageBreak/>
        <w:t>поместили в почвенный раствор вытяжки и внесли в пламя горелки. (Приложение 14. Рис.14)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Обнаружение тяжелых металлов в почве».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Обнаружение ионов свинца: в пробирку  с почвенным раствором  добавили  1 мл раствора йодида калия (Приложение15.Рис 15). При наличии ионов свинца наблюдается выпадение желтого осадка иодида свинца.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Обнаружение ионов меди: в пробирку с почвенным раствором  прилили 2-3 мл (избыток) раствора аммиака, перемешали содержимое пробирки ( Приложение 16.Рис 16).  При наличии ионов меди образуется комплексное соединение  василькового цвета.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Обнаружение ионов железа: в пробирку с почвенным раствором  прилили 3-4 мл роданида калия (Приложение 17.Рис 17).  При наличии ионов железа </w:t>
      </w:r>
      <w:r w:rsidRPr="00CE7AA2">
        <w:rPr>
          <w:rFonts w:ascii="MS Mincho" w:eastAsia="MS Mincho" w:hAnsi="MS Mincho" w:cs="MS Mincho" w:hint="eastAsia"/>
          <w:sz w:val="28"/>
          <w:szCs w:val="28"/>
        </w:rPr>
        <w:t>Ⅲ</w:t>
      </w:r>
      <w:r w:rsidRPr="00CE7AA2">
        <w:rPr>
          <w:rFonts w:ascii="Times New Roman" w:hAnsi="Times New Roman" w:cs="Times New Roman"/>
          <w:sz w:val="28"/>
          <w:szCs w:val="28"/>
        </w:rPr>
        <w:t xml:space="preserve">      появляется красное окрашивание, по интенсивности которого можно судить об их количестве. В пробирку с почвенным раствором прилили несколько капель раствора  железосинеродистого. При наличии ионов железа   </w:t>
      </w:r>
      <w:r w:rsidRPr="00CE7AA2">
        <w:rPr>
          <w:rFonts w:ascii="MS Mincho" w:eastAsia="MS Mincho" w:hAnsi="MS Mincho" w:cs="MS Mincho" w:hint="eastAsia"/>
          <w:sz w:val="28"/>
          <w:szCs w:val="28"/>
        </w:rPr>
        <w:t>Ⅱ</w:t>
      </w:r>
      <w:r w:rsidRPr="00CE7AA2">
        <w:rPr>
          <w:rFonts w:ascii="Times New Roman" w:hAnsi="Times New Roman" w:cs="Times New Roman"/>
          <w:sz w:val="28"/>
          <w:szCs w:val="28"/>
        </w:rPr>
        <w:t xml:space="preserve">  появляется синее окрашивание.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Обнаружение нитрат – ионов: К 5 мл фильтрата по каплям прибавили раствор дифениламина в серной кислоте. При наличии нитратов и нитритов раствор окрашивается в синий цвет.(Приложение 18. Рис.18)</w:t>
      </w: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7D6E" w:rsidRPr="00CE7AA2" w:rsidRDefault="00117D6E" w:rsidP="00117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436C76" w:rsidRDefault="00CE7AA2" w:rsidP="00436C7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C7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3.Результаты исследования.</w:t>
      </w:r>
    </w:p>
    <w:p w:rsidR="00B53FD6" w:rsidRPr="00CE7AA2" w:rsidRDefault="00CE7AA2" w:rsidP="00117D6E">
      <w:pPr>
        <w:pStyle w:val="ac"/>
        <w:spacing w:after="0" w:line="360" w:lineRule="auto"/>
        <w:ind w:left="109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3.1 Физические показатели почвы.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3.1.1.По механическому составу почва образцов – суглинок, но образец №1 – средний суглинок, так как кольцо дробится при раскатывании, образец №2 – тяжелый суглинок. так как шнур сплошной, кольцо стойкое. 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3.1.2. По структуре: почва залежи втирается в кожу ладони, при сбрасывании образуется пыльное облако, т.е почва тяжелая по гранулометрическому составу, при растирании почвы широколиственного леса небольшая доля частиц втирается в кожу ладони, т.е. почва по гранулометрическому составу более легкая.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3.1.3.Расчеты по влагоемкости почвы:  масса стакана 36,5 г. Масса почвы первого образца до высушивания = 54 г, масса почвы после высушивания = 44 г. Влагоемкость почвы – 23%.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Масса почвы второго образца до высушивания = 54 г, масса почвы после высушивания = 38 г. Влагоемкость почвы – 42%.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3.1.4.</w:t>
      </w:r>
      <w:r w:rsidR="00AB6853">
        <w:rPr>
          <w:rFonts w:ascii="Times New Roman" w:hAnsi="Times New Roman" w:cs="Times New Roman"/>
          <w:sz w:val="28"/>
          <w:szCs w:val="28"/>
        </w:rPr>
        <w:t>Водопроницаемость почвы: в</w:t>
      </w:r>
      <w:r w:rsidRPr="00CE7AA2">
        <w:rPr>
          <w:rFonts w:ascii="Times New Roman" w:hAnsi="Times New Roman" w:cs="Times New Roman"/>
          <w:sz w:val="28"/>
          <w:szCs w:val="28"/>
        </w:rPr>
        <w:t>ода  в почву образца №1 впиталась за 2,7 часа. Водопроницаемость  удовлетворительная.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Вода в образце №2 впиталась за 3 часа. Водопроницаемость удовлетворительная.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3.1.5. Время, в течение которого выделялся воздух из почвы образца №1, составило 2 мин. 40 сек.  Пузырьки крупные и мелкие, интенсивность выделения – средняя.  Аэрация хорошая. Время выделения пузырьков из почвы образца №2 составило 40 сек, пузырьки средние и мелкие. Аэрация плохая.</w:t>
      </w:r>
    </w:p>
    <w:p w:rsidR="00B53FD6" w:rsidRPr="00CE7AA2" w:rsidRDefault="00CE7AA2" w:rsidP="001B2B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3.1.6. На нейтрализацию гидроксид</w:t>
      </w:r>
      <w:r w:rsidR="00103EC9">
        <w:rPr>
          <w:rFonts w:ascii="Times New Roman" w:hAnsi="Times New Roman" w:cs="Times New Roman"/>
          <w:sz w:val="28"/>
          <w:szCs w:val="28"/>
        </w:rPr>
        <w:t>а бария в контроле израсходовано</w:t>
      </w:r>
      <w:r w:rsidRPr="00CE7AA2">
        <w:rPr>
          <w:rFonts w:ascii="Times New Roman" w:hAnsi="Times New Roman" w:cs="Times New Roman"/>
          <w:sz w:val="28"/>
          <w:szCs w:val="28"/>
        </w:rPr>
        <w:t xml:space="preserve"> 1,5 мл соляной кислоты , на нейтрализацию гидроксида бария опыта с почвой леса </w:t>
      </w:r>
      <w:r w:rsidRPr="00CE7AA2">
        <w:rPr>
          <w:rFonts w:ascii="Times New Roman" w:hAnsi="Times New Roman" w:cs="Times New Roman"/>
          <w:sz w:val="28"/>
          <w:szCs w:val="28"/>
        </w:rPr>
        <w:lastRenderedPageBreak/>
        <w:t xml:space="preserve">израсходовано 0,5 мл соляной кислоты, разность - 1 мл ( это за 3 часа ), за 1 час - 0,33 мл за один час, </w:t>
      </w:r>
      <w:r w:rsidRPr="00CE7AA2">
        <w:rPr>
          <w:rFonts w:ascii="Times New Roman" w:hAnsi="Times New Roman" w:cs="Times New Roman"/>
          <w:sz w:val="28"/>
          <w:szCs w:val="28"/>
        </w:rPr>
        <w:br/>
        <w:t>на нейтрализацию почвы залежной земли израсходовано 0,7 мл соляной кислоты, разность - 0,8 мл за 3 часа, за один час — 0,26</w:t>
      </w:r>
    </w:p>
    <w:tbl>
      <w:tblPr>
        <w:tblW w:w="934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0"/>
        <w:gridCol w:w="30"/>
        <w:gridCol w:w="4806"/>
      </w:tblGrid>
      <w:tr w:rsidR="00117D6E" w:rsidRPr="00CE7AA2" w:rsidTr="001B2B5A">
        <w:trPr>
          <w:trHeight w:val="855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Тип почвы.</w:t>
            </w: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Интенсивность дыхания в мл СО2 на 30г почвы за час</w:t>
            </w:r>
          </w:p>
        </w:tc>
      </w:tr>
      <w:tr w:rsidR="00117D6E" w:rsidRPr="00CE7AA2" w:rsidTr="001B2B5A">
        <w:trPr>
          <w:trHeight w:val="300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D6E" w:rsidRPr="00CE7AA2" w:rsidTr="001B2B5A">
        <w:trPr>
          <w:trHeight w:val="390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17D6E" w:rsidRPr="00CE7AA2" w:rsidTr="001B2B5A">
        <w:trPr>
          <w:trHeight w:val="300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D6E" w:rsidRPr="00CE7AA2" w:rsidTr="001B2B5A">
        <w:trPr>
          <w:trHeight w:val="450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Почва леса</w:t>
            </w: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</w:tr>
      <w:tr w:rsidR="00117D6E" w:rsidRPr="00CE7AA2" w:rsidTr="001B2B5A">
        <w:trPr>
          <w:trHeight w:val="225"/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D6E" w:rsidRPr="00CE7AA2" w:rsidTr="001B2B5A">
        <w:trPr>
          <w:jc w:val="right"/>
        </w:trPr>
        <w:tc>
          <w:tcPr>
            <w:tcW w:w="4515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Почва залежи</w:t>
            </w:r>
          </w:p>
        </w:tc>
        <w:tc>
          <w:tcPr>
            <w:tcW w:w="20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1" w:type="dxa"/>
          </w:tcPr>
          <w:p w:rsidR="00117D6E" w:rsidRPr="00CE7AA2" w:rsidRDefault="00117D6E" w:rsidP="00117D6E">
            <w:pPr>
              <w:pStyle w:val="af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AA2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</w:tr>
    </w:tbl>
    <w:p w:rsidR="00B53FD6" w:rsidRPr="00CE7AA2" w:rsidRDefault="00967B23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п</w:t>
      </w:r>
      <w:r w:rsidR="00436C76">
        <w:rPr>
          <w:rFonts w:ascii="Times New Roman" w:hAnsi="Times New Roman" w:cs="Times New Roman"/>
          <w:sz w:val="28"/>
          <w:szCs w:val="28"/>
        </w:rPr>
        <w:t>очвы залежи ниже, чем почвы широколиственного леса.</w:t>
      </w:r>
    </w:p>
    <w:p w:rsidR="00B53FD6" w:rsidRPr="00CE7AA2" w:rsidRDefault="00CE7AA2" w:rsidP="00117D6E">
      <w:pPr>
        <w:pStyle w:val="ac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3.2.Химические  свойства почвы.</w:t>
      </w:r>
    </w:p>
    <w:p w:rsidR="00B53FD6" w:rsidRPr="00CE7AA2" w:rsidRDefault="00436C76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3.2.1.</w:t>
      </w:r>
      <w:r w:rsidR="00CE7AA2" w:rsidRPr="00CE7AA2">
        <w:rPr>
          <w:rFonts w:ascii="Times New Roman" w:hAnsi="Times New Roman" w:cs="Times New Roman"/>
          <w:sz w:val="28"/>
          <w:szCs w:val="28"/>
        </w:rPr>
        <w:t xml:space="preserve"> PH  почвенной вытяжки образца №1 -7,39, близка к нейтральной образца №2 составила 7,29, близка к нейтральной.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3.2.2. Расчет по содержанию гумуса в почве образца №1 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верхний слой =5 см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нижний слой =9 см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Содержание гумуса =5:9*100%=56%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Расчет по содержанию гумуса в почве образца №2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верхний слой =4см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нижний слой =10см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Содержание гумуса =4:10*100%=40%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lastRenderedPageBreak/>
        <w:t>Почва образца  №2  содержит меньшее количество органических веществ.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3.2.3. Результаты по исследованию засолен</w:t>
      </w:r>
      <w:r w:rsidR="00EB249E">
        <w:rPr>
          <w:rFonts w:ascii="Times New Roman" w:hAnsi="Times New Roman" w:cs="Times New Roman"/>
          <w:sz w:val="28"/>
          <w:szCs w:val="28"/>
        </w:rPr>
        <w:t>н</w:t>
      </w:r>
      <w:r w:rsidRPr="00CE7AA2">
        <w:rPr>
          <w:rFonts w:ascii="Times New Roman" w:hAnsi="Times New Roman" w:cs="Times New Roman"/>
          <w:sz w:val="28"/>
          <w:szCs w:val="28"/>
        </w:rPr>
        <w:t>ости почвы.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При вливании в образцы почвы соляной кислоты  выделение углекислого газа не наблюдали. Карбонат – ионы отсутствуют.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При вливании в пробирки с почвенной вытяжкой обоих образцов  раствора хлорида бария видимых изменений не обнаружили. Сульфат- ионы отсутствуют.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При вливании в пробирки  с почвенной вытяжкой обоих образцов  спиртового раствора йода видимых изменений не обнаружили. Сульфит- ионы отсутствуют.</w:t>
      </w:r>
    </w:p>
    <w:p w:rsidR="00B53FD6" w:rsidRPr="00CE7AA2" w:rsidRDefault="00CE7AA2" w:rsidP="00117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При вливании в пробирки с почвенной вытяжкой обоих образцов раствора  нитрата серебра обнаружили небольшое помутнение в образце №1 Содержание хлорид ионов составило сотые, тысячные доли.   </w:t>
      </w:r>
    </w:p>
    <w:p w:rsidR="00B53FD6" w:rsidRPr="00CE7AA2" w:rsidRDefault="00CE7AA2" w:rsidP="00117D6E">
      <w:pPr>
        <w:pStyle w:val="1"/>
        <w:spacing w:before="300" w:line="360" w:lineRule="auto"/>
        <w:jc w:val="both"/>
        <w:rPr>
          <w:rFonts w:ascii="Times New Roman" w:hAnsi="Times New Roman" w:cs="Times New Roman"/>
          <w:b w:val="0"/>
        </w:rPr>
      </w:pPr>
      <w:r w:rsidRPr="00CE7AA2">
        <w:rPr>
          <w:rFonts w:ascii="Times New Roman" w:hAnsi="Times New Roman" w:cs="Times New Roman"/>
          <w:b w:val="0"/>
          <w:color w:val="333333"/>
        </w:rPr>
        <w:t>Ag+ + Cl- -&gt; AgCl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При внесении в пламя спиртовки стеклянной палочки, смоченной почвенной вытяжкой обоих образцов, появление желтого окрашивания не наблюдали. Ионы натрия отсутствуют в обоих образцах. 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При вливании в пробирки с почвенной вытяжкой раствора иодида калия, раствора аммиака, раствора роданида калия, железа синеродистого видимых изменений не обнаружили. Тяжелые металлы в почве отсутствуют.</w:t>
      </w: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При вливании в пробирки с почвенной вытяжкой обоих образцов дифениламина в концентрированной серной кислоте  наблюдали изменение цвета в обоих образцах, но более насыщенный в образце №1, что соответствует большему содержанию нитрат – ионов. </w:t>
      </w:r>
    </w:p>
    <w:p w:rsidR="00B53FD6" w:rsidRPr="00CE7AA2" w:rsidRDefault="00B53FD6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B5A" w:rsidRPr="00CE7AA2" w:rsidRDefault="001B2B5A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286B30">
      <w:pPr>
        <w:pStyle w:val="a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Выводы.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 xml:space="preserve"> По результатам исследования физических свойств: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по механическому составу почва леса – средний суглинок, почва залежи тяжелый суглинок,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-по гранулометрическому составу более легкая почва леса, </w:t>
      </w:r>
    </w:p>
    <w:p w:rsidR="00B53FD6" w:rsidRPr="00CE7AA2" w:rsidRDefault="00CE7AA2" w:rsidP="00117D6E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гумусовый слой выражен слабее в почве залежи.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-по структуре почва залежи – бесструктурная,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водопроницаемость почвы леса -  удовлетворительная, почвы залежи – удовлетворительная,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-аэрация почвы залежи – плохая, почвы леса – хорошая,</w:t>
      </w:r>
    </w:p>
    <w:p w:rsidR="00B53FD6" w:rsidRPr="00CE7AA2" w:rsidRDefault="00CE7AA2" w:rsidP="00117D6E">
      <w:pPr>
        <w:pStyle w:val="ad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более высокая влагоемкость в почве залежи,</w:t>
      </w:r>
    </w:p>
    <w:p w:rsidR="00B53FD6" w:rsidRPr="00CE7AA2" w:rsidRDefault="009A6802" w:rsidP="00117D6E">
      <w:pPr>
        <w:pStyle w:val="ad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дыхание</w:t>
      </w:r>
      <w:r w:rsidR="00CE7AA2" w:rsidRPr="00CE7AA2">
        <w:rPr>
          <w:rFonts w:ascii="Times New Roman" w:hAnsi="Times New Roman" w:cs="Times New Roman"/>
          <w:sz w:val="28"/>
          <w:szCs w:val="28"/>
        </w:rPr>
        <w:t xml:space="preserve"> почвы леса является более интенсивным.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E7AA2">
        <w:rPr>
          <w:rFonts w:ascii="Times New Roman" w:hAnsi="Times New Roman" w:cs="Times New Roman"/>
          <w:b/>
          <w:bCs/>
          <w:sz w:val="28"/>
          <w:szCs w:val="28"/>
        </w:rPr>
        <w:t>По результатам исследования химических свойств: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среда почвенной вытяжки леса и залежной земли близка к нейтральной,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содержание органических веществ более высокое в почве леса,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в почве обоих образцов не содержатся карбонат-ионы.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в почве обоих образцов не содержатся сульфат-ионы,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в почве обоих образцов не содержатся сульфит-ионы,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- в почве широколиственного леса содержатся сотые, тысячные доли процента хлорид-ионов,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- почва залежи и леса не содержит ионов натрия, 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ионы солей тяжелых металлов в почве залежи  и леса  не обнаружены,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- почва леса содержит большее количество нитрат – ионов.</w:t>
      </w:r>
    </w:p>
    <w:p w:rsidR="00B53FD6" w:rsidRPr="00CE7AA2" w:rsidRDefault="00B53FD6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B5A" w:rsidRPr="00CE7AA2" w:rsidRDefault="001B2B5A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B5A" w:rsidRPr="00CE7AA2" w:rsidRDefault="001B2B5A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B5A" w:rsidRPr="00CE7AA2" w:rsidRDefault="001B2B5A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B5A" w:rsidRPr="00CE7AA2" w:rsidRDefault="001B2B5A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B5A" w:rsidRPr="00CE7AA2" w:rsidRDefault="001B2B5A" w:rsidP="00286B30">
      <w:pPr>
        <w:pStyle w:val="a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 w:rsidP="00117D6E">
      <w:pPr>
        <w:pStyle w:val="a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B53FD6" w:rsidRPr="00AB6853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6853">
        <w:rPr>
          <w:rFonts w:ascii="Times New Roman" w:hAnsi="Times New Roman" w:cs="Times New Roman"/>
          <w:b/>
          <w:i/>
          <w:sz w:val="28"/>
          <w:szCs w:val="28"/>
        </w:rPr>
        <w:t>Антропогенное влияние человека на почву проявилось в изменении гранулометрического, механического состава почвы, содержании гумуса, водопроницаемости почвы,</w:t>
      </w:r>
      <w:r w:rsidR="009A6802" w:rsidRPr="00AB6853">
        <w:rPr>
          <w:rFonts w:ascii="Times New Roman" w:hAnsi="Times New Roman" w:cs="Times New Roman"/>
          <w:b/>
          <w:i/>
          <w:sz w:val="28"/>
          <w:szCs w:val="28"/>
        </w:rPr>
        <w:t xml:space="preserve"> интенсивности</w:t>
      </w:r>
      <w:r w:rsidRPr="00AB6853">
        <w:rPr>
          <w:rFonts w:ascii="Times New Roman" w:hAnsi="Times New Roman" w:cs="Times New Roman"/>
          <w:b/>
          <w:i/>
          <w:sz w:val="28"/>
          <w:szCs w:val="28"/>
        </w:rPr>
        <w:t xml:space="preserve"> дыхания почвы, а также в небольших изменениях химических свойств почвы залежной земли.</w:t>
      </w:r>
      <w:r w:rsidR="009A6802" w:rsidRPr="00AB6853">
        <w:rPr>
          <w:rFonts w:ascii="Times New Roman" w:hAnsi="Times New Roman" w:cs="Times New Roman"/>
          <w:b/>
          <w:i/>
          <w:sz w:val="28"/>
          <w:szCs w:val="28"/>
        </w:rPr>
        <w:t xml:space="preserve"> Гипотеза подтверждена.</w:t>
      </w:r>
    </w:p>
    <w:p w:rsidR="00B53FD6" w:rsidRPr="00AB6853" w:rsidRDefault="00CE7AA2" w:rsidP="00117D6E">
      <w:pPr>
        <w:pStyle w:val="aa"/>
        <w:spacing w:before="0" w:after="0" w:line="360" w:lineRule="auto"/>
        <w:jc w:val="both"/>
        <w:rPr>
          <w:rFonts w:cs="Times New Roman"/>
          <w:i/>
          <w:sz w:val="28"/>
          <w:szCs w:val="28"/>
        </w:rPr>
      </w:pPr>
      <w:r w:rsidRPr="00AB6853">
        <w:rPr>
          <w:rFonts w:cs="Times New Roman"/>
          <w:i/>
          <w:color w:val="212529"/>
          <w:sz w:val="28"/>
          <w:szCs w:val="28"/>
        </w:rPr>
        <w:t>В 2021 году в России была утверждена</w:t>
      </w:r>
      <w:r w:rsidRPr="00AB6853">
        <w:rPr>
          <w:rFonts w:cs="Times New Roman"/>
          <w:i/>
          <w:color w:val="000000" w:themeColor="text1"/>
          <w:sz w:val="28"/>
          <w:szCs w:val="28"/>
        </w:rPr>
        <w:t> </w:t>
      </w:r>
      <w:hyperlink r:id="rId11">
        <w:r w:rsidRPr="00AB6853">
          <w:rPr>
            <w:rFonts w:cs="Times New Roman"/>
            <w:i/>
            <w:color w:val="000000" w:themeColor="text1"/>
            <w:sz w:val="28"/>
            <w:szCs w:val="28"/>
            <w:u w:val="single" w:color="0000FF"/>
          </w:rPr>
          <w:t>госпрограмма</w:t>
        </w:r>
      </w:hyperlink>
      <w:r w:rsidRPr="00AB6853">
        <w:rPr>
          <w:rFonts w:cs="Times New Roman"/>
          <w:i/>
          <w:color w:val="212529"/>
          <w:sz w:val="28"/>
          <w:szCs w:val="28"/>
        </w:rPr>
        <w:t> по возвращению в оборот земель сельхозназначения и развития мелиоративного комплекса. Срок реализации – 10 лет. За это время планируется вернуть в оборот 13 млн га земли.</w:t>
      </w:r>
      <w:r w:rsidR="009D4FF6" w:rsidRPr="00AB6853">
        <w:rPr>
          <w:i/>
        </w:rPr>
        <w:t xml:space="preserve"> </w:t>
      </w:r>
      <w:r w:rsidR="009D4FF6" w:rsidRPr="00AB6853">
        <w:rPr>
          <w:rFonts w:cs="Times New Roman"/>
          <w:b/>
          <w:i/>
          <w:color w:val="212529"/>
          <w:sz w:val="28"/>
          <w:szCs w:val="28"/>
        </w:rPr>
        <w:t>[7]</w:t>
      </w:r>
    </w:p>
    <w:p w:rsidR="00B53FD6" w:rsidRPr="00CE7AA2" w:rsidRDefault="00CE7AA2" w:rsidP="00117D6E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853">
        <w:rPr>
          <w:rFonts w:ascii="Times New Roman" w:hAnsi="Times New Roman" w:cs="Times New Roman"/>
          <w:i/>
          <w:sz w:val="28"/>
          <w:szCs w:val="28"/>
        </w:rPr>
        <w:t>Залежная земля, расположенная рядом с лесом, возвращается в оборот. Почва р</w:t>
      </w:r>
      <w:r w:rsidR="009A6802" w:rsidRPr="00AB6853">
        <w:rPr>
          <w:rFonts w:ascii="Times New Roman" w:hAnsi="Times New Roman" w:cs="Times New Roman"/>
          <w:i/>
          <w:sz w:val="28"/>
          <w:szCs w:val="28"/>
        </w:rPr>
        <w:t>аспахана, на ней посеяна озимая пшеница.(Приложение 20. Рис.</w:t>
      </w:r>
      <w:r w:rsidRPr="00CE7AA2">
        <w:rPr>
          <w:rFonts w:ascii="Times New Roman" w:hAnsi="Times New Roman" w:cs="Times New Roman"/>
          <w:sz w:val="28"/>
          <w:szCs w:val="28"/>
        </w:rPr>
        <w:t xml:space="preserve"> 20)</w:t>
      </w: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A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Информационные источники.</w:t>
      </w:r>
    </w:p>
    <w:p w:rsidR="00B53FD6" w:rsidRPr="00CE7AA2" w:rsidRDefault="00CE7AA2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1. Ашихмина Т.Я.  Практические технологии в школьном образовательном и воспитательном процессе .</w:t>
      </w:r>
      <w:r w:rsidRPr="00CE7AA2">
        <w:rPr>
          <w:rFonts w:ascii="Times New Roman" w:hAnsi="Times New Roman" w:cs="Times New Roman"/>
          <w:color w:val="222222"/>
          <w:sz w:val="28"/>
          <w:szCs w:val="28"/>
        </w:rPr>
        <w:t>Школьный экологический мониторинг : Учеб. пособие для учителей и учащихся , 2000г.</w:t>
      </w:r>
    </w:p>
    <w:p w:rsidR="00B53FD6" w:rsidRPr="00CE7AA2" w:rsidRDefault="00CE7AA2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color w:val="222222"/>
          <w:sz w:val="28"/>
          <w:szCs w:val="28"/>
        </w:rPr>
        <w:t>2.</w:t>
      </w:r>
      <w:r w:rsidR="001B2B5A" w:rsidRPr="00CE7AA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CE7AA2">
        <w:rPr>
          <w:rFonts w:ascii="Times New Roman" w:hAnsi="Times New Roman" w:cs="Times New Roman"/>
          <w:sz w:val="28"/>
          <w:szCs w:val="28"/>
        </w:rPr>
        <w:t>Карачевский  Л.О. Экологическое почвоведение. М. ГЕОС, 2005.</w:t>
      </w:r>
    </w:p>
    <w:p w:rsidR="001B2B5A" w:rsidRPr="00CE7AA2" w:rsidRDefault="001B2B5A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3. Ф</w:t>
      </w:r>
      <w:r w:rsidR="009D4FF6">
        <w:rPr>
          <w:rFonts w:ascii="Times New Roman" w:hAnsi="Times New Roman" w:cs="Times New Roman"/>
          <w:sz w:val="28"/>
          <w:szCs w:val="28"/>
        </w:rPr>
        <w:t>едорец Н. Г., Медведева М. В. М</w:t>
      </w:r>
      <w:r w:rsidRPr="00CE7AA2">
        <w:rPr>
          <w:rFonts w:ascii="Times New Roman" w:hAnsi="Times New Roman" w:cs="Times New Roman"/>
          <w:sz w:val="28"/>
          <w:szCs w:val="28"/>
        </w:rPr>
        <w:t>етодика исследования п</w:t>
      </w:r>
      <w:r w:rsidR="009D4FF6">
        <w:rPr>
          <w:rFonts w:ascii="Times New Roman" w:hAnsi="Times New Roman" w:cs="Times New Roman"/>
          <w:sz w:val="28"/>
          <w:szCs w:val="28"/>
        </w:rPr>
        <w:t>очв урбанизированных территорий. Карельский научный центр. РАН. 2009, 84 с.</w:t>
      </w:r>
    </w:p>
    <w:p w:rsidR="00B53FD6" w:rsidRPr="00CE7AA2" w:rsidRDefault="001B2B5A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4.</w:t>
      </w:r>
      <w:r w:rsidR="00CE7AA2" w:rsidRPr="00CE7AA2">
        <w:rPr>
          <w:rFonts w:ascii="Times New Roman" w:hAnsi="Times New Roman" w:cs="Times New Roman"/>
          <w:sz w:val="28"/>
          <w:szCs w:val="28"/>
        </w:rPr>
        <w:t xml:space="preserve"> Федорова А. И. Практикум по экологии и охране окружающей среды. Учебное пособие для студентов высших учебных заведений. Москва. Гуманитарный издательский центр «Владос» 2001 год.288 с.</w:t>
      </w:r>
    </w:p>
    <w:p w:rsidR="00B53FD6" w:rsidRPr="00CE7AA2" w:rsidRDefault="001B2B5A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>5.</w:t>
      </w:r>
      <w:r w:rsidR="00CE7AA2" w:rsidRPr="00CE7AA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>
        <w:r w:rsidR="00CE7AA2" w:rsidRPr="00CE7AA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https://asm-agro.ru/articles/nepahanoe-pole-kak-vernut-v-oborot-zalezhnye-zemli/</w:t>
        </w:r>
      </w:hyperlink>
      <w:r w:rsidR="00CE7AA2" w:rsidRPr="00CE7A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FD6" w:rsidRPr="00CE7AA2" w:rsidRDefault="001B2B5A" w:rsidP="00117D6E">
      <w:pPr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CE7AA2">
        <w:rPr>
          <w:rFonts w:ascii="Times New Roman" w:hAnsi="Times New Roman" w:cs="Times New Roman"/>
          <w:sz w:val="28"/>
          <w:szCs w:val="28"/>
        </w:rPr>
        <w:t>6.</w:t>
      </w:r>
      <w:r w:rsidR="00CE7AA2" w:rsidRPr="00CE7AA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>
        <w:r w:rsidR="00CE7AA2" w:rsidRPr="00CE7AA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https://gruntovozov.ru/chasto-zadavayemiye-voprosy/primenenie-gruntov/plodorodnost-pochvyi/</w:t>
        </w:r>
      </w:hyperlink>
    </w:p>
    <w:p w:rsidR="001B2B5A" w:rsidRPr="00CE7AA2" w:rsidRDefault="001B2B5A" w:rsidP="001B2B5A">
      <w:pPr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CE7AA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CE7AA2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. </w:t>
      </w:r>
      <w:r w:rsidR="009D4FF6" w:rsidRPr="009D4FF6">
        <w:rPr>
          <w:rFonts w:ascii="Times New Roman" w:hAnsi="Times New Roman" w:cs="Times New Roman"/>
          <w:color w:val="0000FF"/>
          <w:sz w:val="28"/>
          <w:szCs w:val="28"/>
          <w:u w:val="single"/>
        </w:rPr>
        <w:t>https://base.garant.ru/400773886/</w:t>
      </w:r>
    </w:p>
    <w:p w:rsidR="001B2B5A" w:rsidRPr="00CE7AA2" w:rsidRDefault="001B2B5A" w:rsidP="00117D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3FD6" w:rsidRPr="00CE7AA2" w:rsidRDefault="00CE7AA2" w:rsidP="00117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A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B53FD6" w:rsidRPr="00CE7AA2" w:rsidRDefault="00B53F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53FD6" w:rsidRPr="00CE7AA2" w:rsidRDefault="00B53FD6" w:rsidP="001B2B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4FF6" w:rsidRDefault="009D4FF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1.                              </w:t>
      </w:r>
    </w:p>
    <w:p w:rsidR="00B53FD6" w:rsidRDefault="00B53FD6">
      <w:pPr>
        <w:spacing w:line="360" w:lineRule="auto"/>
        <w:jc w:val="center"/>
      </w:pPr>
    </w:p>
    <w:p w:rsidR="00B53FD6" w:rsidRDefault="00CE7AA2">
      <w:pPr>
        <w:pStyle w:val="a5"/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 wp14:anchorId="566B5D84" wp14:editId="6FEF7D26">
            <wp:extent cx="3586348" cy="3565915"/>
            <wp:effectExtent l="0" t="0" r="0" b="0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81" cy="36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p w:rsidR="00B53FD6" w:rsidRDefault="00B53FD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FD6" w:rsidRDefault="00BC332B" w:rsidP="00BC332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Положение исследуемой территории на карте.</w:t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 w:rsidP="001B2B5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BC332B" w:rsidRDefault="00BC332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C332B" w:rsidRDefault="00BC332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C332B" w:rsidRDefault="00BC332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C332B" w:rsidRDefault="00BC332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C332B" w:rsidRDefault="00BC332B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9D4FF6" w:rsidRDefault="009D4FF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2</w:t>
      </w: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572000" cy="3429000"/>
            <wp:effectExtent l="0" t="0" r="0" b="0"/>
            <wp:docPr id="6" name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2. Получение почвенной вытяжки.</w:t>
      </w:r>
    </w:p>
    <w:p w:rsidR="00B53FD6" w:rsidRDefault="00B53FD6">
      <w:pPr>
        <w:spacing w:line="360" w:lineRule="auto"/>
        <w:jc w:val="both"/>
      </w:pPr>
    </w:p>
    <w:p w:rsidR="00B53FD6" w:rsidRDefault="00B53FD6"/>
    <w:p w:rsidR="00B53FD6" w:rsidRDefault="00B53FD6"/>
    <w:p w:rsidR="00B53FD6" w:rsidRDefault="00B53FD6"/>
    <w:p w:rsidR="00B53FD6" w:rsidRDefault="00B53FD6"/>
    <w:p w:rsidR="00B53FD6" w:rsidRDefault="00B53FD6"/>
    <w:p w:rsidR="00B53FD6" w:rsidRDefault="00CE7AA2">
      <w:pPr>
        <w:tabs>
          <w:tab w:val="left" w:pos="1830"/>
        </w:tabs>
        <w:rPr>
          <w:rFonts w:ascii="Times New Roman" w:hAnsi="Times New Roman"/>
          <w:sz w:val="28"/>
          <w:szCs w:val="28"/>
        </w:rPr>
      </w:pPr>
      <w:r>
        <w:tab/>
      </w:r>
    </w:p>
    <w:p w:rsidR="00B53FD6" w:rsidRDefault="00B53FD6">
      <w:pPr>
        <w:tabs>
          <w:tab w:val="left" w:pos="1830"/>
        </w:tabs>
        <w:jc w:val="right"/>
      </w:pPr>
    </w:p>
    <w:p w:rsidR="00B53FD6" w:rsidRDefault="00B53FD6">
      <w:pPr>
        <w:tabs>
          <w:tab w:val="left" w:pos="1830"/>
        </w:tabs>
        <w:jc w:val="right"/>
      </w:pPr>
    </w:p>
    <w:p w:rsidR="00B53FD6" w:rsidRDefault="00B53FD6">
      <w:pPr>
        <w:tabs>
          <w:tab w:val="left" w:pos="1830"/>
        </w:tabs>
        <w:jc w:val="right"/>
      </w:pPr>
    </w:p>
    <w:p w:rsidR="00B53FD6" w:rsidRDefault="00B53FD6" w:rsidP="001C1A02">
      <w:pPr>
        <w:tabs>
          <w:tab w:val="left" w:pos="1830"/>
        </w:tabs>
      </w:pPr>
    </w:p>
    <w:p w:rsidR="00B53FD6" w:rsidRDefault="00CE7AA2">
      <w:pPr>
        <w:tabs>
          <w:tab w:val="left" w:pos="1830"/>
        </w:tabs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3</w:t>
      </w:r>
    </w:p>
    <w:p w:rsidR="00B53FD6" w:rsidRDefault="00B53FD6">
      <w:pPr>
        <w:tabs>
          <w:tab w:val="left" w:pos="1830"/>
        </w:tabs>
        <w:jc w:val="right"/>
      </w:pPr>
    </w:p>
    <w:p w:rsidR="00B53FD6" w:rsidRDefault="00B53FD6">
      <w:pPr>
        <w:tabs>
          <w:tab w:val="left" w:pos="1830"/>
        </w:tabs>
        <w:jc w:val="right"/>
      </w:pPr>
    </w:p>
    <w:p w:rsidR="00B53FD6" w:rsidRDefault="00CE7AA2">
      <w:pPr>
        <w:spacing w:line="360" w:lineRule="auto"/>
        <w:jc w:val="right"/>
      </w:pPr>
      <w:r>
        <w:rPr>
          <w:noProof/>
          <w:lang w:eastAsia="ru-RU" w:bidi="ar-SA"/>
        </w:rPr>
        <w:drawing>
          <wp:inline distT="0" distB="0" distL="0" distR="0">
            <wp:extent cx="5934075" cy="4029075"/>
            <wp:effectExtent l="0" t="0" r="0" b="0"/>
            <wp:docPr id="7" name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3. Механический состав почвы.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4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572000" cy="4200525"/>
            <wp:effectExtent l="0" t="0" r="0" b="0"/>
            <wp:docPr id="8" name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 4. Почва широколиственного леса и залежной земли по механическому составу.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 w:rsidP="001C1A02">
      <w:pPr>
        <w:spacing w:line="360" w:lineRule="auto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5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572000" cy="3152775"/>
            <wp:effectExtent l="0" t="0" r="0" b="0"/>
            <wp:docPr id="9" name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5. Структура почвы широколиственного леса и залежной земли.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6</w:t>
      </w: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10" name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6. Водопроницаемость почвы.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777240</wp:posOffset>
            </wp:positionH>
            <wp:positionV relativeFrom="paragraph">
              <wp:posOffset>222885</wp:posOffset>
            </wp:positionV>
            <wp:extent cx="3962400" cy="3900805"/>
            <wp:effectExtent l="0" t="0" r="0" b="4445"/>
            <wp:wrapSquare wrapText="largest"/>
            <wp:docPr id="1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Приложение 7</w:t>
      </w: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1B2B5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6" behindDoc="0" locked="0" layoutInCell="0" allowOverlap="1" wp14:anchorId="4ED3A7D7" wp14:editId="28DAC843">
            <wp:simplePos x="0" y="0"/>
            <wp:positionH relativeFrom="column">
              <wp:posOffset>1348740</wp:posOffset>
            </wp:positionH>
            <wp:positionV relativeFrom="paragraph">
              <wp:posOffset>66040</wp:posOffset>
            </wp:positionV>
            <wp:extent cx="2819400" cy="3477895"/>
            <wp:effectExtent l="0" t="0" r="0" b="8255"/>
            <wp:wrapSquare wrapText="largest"/>
            <wp:docPr id="12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7. Воздухопроницаемость почвы  леса и залежной  земли.</w:t>
      </w:r>
    </w:p>
    <w:p w:rsidR="00B53FD6" w:rsidRDefault="00CE7AA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3FD6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7" behindDoc="0" locked="0" layoutInCell="0" allowOverlap="1" wp14:anchorId="3D2A7E13" wp14:editId="223377FF">
            <wp:simplePos x="0" y="0"/>
            <wp:positionH relativeFrom="column">
              <wp:posOffset>-384810</wp:posOffset>
            </wp:positionH>
            <wp:positionV relativeFrom="paragraph">
              <wp:posOffset>374650</wp:posOffset>
            </wp:positionV>
            <wp:extent cx="2975610" cy="2181225"/>
            <wp:effectExtent l="0" t="0" r="0" b="9525"/>
            <wp:wrapSquare wrapText="largest"/>
            <wp:docPr id="13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A2">
        <w:rPr>
          <w:rFonts w:ascii="Times New Roman" w:hAnsi="Times New Roman"/>
          <w:b/>
          <w:bCs/>
          <w:sz w:val="28"/>
          <w:szCs w:val="28"/>
        </w:rPr>
        <w:t>Приложение 8.</w:t>
      </w: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posOffset>572135</wp:posOffset>
            </wp:positionH>
            <wp:positionV relativeFrom="paragraph">
              <wp:posOffset>13335</wp:posOffset>
            </wp:positionV>
            <wp:extent cx="2631440" cy="2173605"/>
            <wp:effectExtent l="0" t="0" r="0" b="0"/>
            <wp:wrapSquare wrapText="largest"/>
            <wp:docPr id="1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9" behindDoc="0" locked="0" layoutInCell="0" allowOverlap="1">
            <wp:simplePos x="0" y="0"/>
            <wp:positionH relativeFrom="column">
              <wp:posOffset>609600</wp:posOffset>
            </wp:positionH>
            <wp:positionV relativeFrom="paragraph">
              <wp:posOffset>182245</wp:posOffset>
            </wp:positionV>
            <wp:extent cx="4900930" cy="3675380"/>
            <wp:effectExtent l="0" t="0" r="0" b="0"/>
            <wp:wrapSquare wrapText="largest"/>
            <wp:docPr id="1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center"/>
      </w:pPr>
      <w:r>
        <w:rPr>
          <w:rFonts w:ascii="Times New Roman" w:hAnsi="Times New Roman"/>
          <w:bCs/>
          <w:sz w:val="28"/>
          <w:szCs w:val="28"/>
        </w:rPr>
        <w:t>Рисунок 8. Определение дыхания почвы.</w:t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9.</w:t>
      </w:r>
    </w:p>
    <w:p w:rsidR="00B53FD6" w:rsidRDefault="00CE7AA2">
      <w:pPr>
        <w:spacing w:line="360" w:lineRule="auto"/>
        <w:jc w:val="right"/>
      </w:pPr>
      <w:r>
        <w:rPr>
          <w:noProof/>
          <w:lang w:eastAsia="ru-RU" w:bidi="ar-SA"/>
        </w:rPr>
        <w:drawing>
          <wp:inline distT="0" distB="0" distL="0" distR="0">
            <wp:extent cx="3209925" cy="3108886"/>
            <wp:effectExtent l="0" t="0" r="0" b="0"/>
            <wp:docPr id="16" name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31" cy="31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4648200" cy="3098800"/>
            <wp:effectExtent l="0" t="0" r="0" b="6350"/>
            <wp:docPr id="17" name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3" cy="31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8. Определение уровня pH  почвенной вытяжки</w:t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10.</w:t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44900" cy="3869055"/>
            <wp:effectExtent l="0" t="0" r="0" b="0"/>
            <wp:wrapSquare wrapText="largest"/>
            <wp:docPr id="18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right"/>
      </w:pPr>
      <w:r>
        <w:rPr>
          <w:noProof/>
          <w:lang w:eastAsia="ru-RU" w:bidi="ar-SA"/>
        </w:rPr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748665</wp:posOffset>
            </wp:positionH>
            <wp:positionV relativeFrom="paragraph">
              <wp:posOffset>251460</wp:posOffset>
            </wp:positionV>
            <wp:extent cx="4238625" cy="3482340"/>
            <wp:effectExtent l="0" t="0" r="0" b="0"/>
            <wp:wrapSquare wrapText="largest"/>
            <wp:docPr id="1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10. Определение содержания  гумуса в почвенных образцах.</w:t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 w:rsidP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11.</w:t>
      </w: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686050" cy="3382948"/>
            <wp:effectExtent l="0" t="0" r="0" b="8255"/>
            <wp:docPr id="20" name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5" cy="338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3324225" cy="3768495"/>
            <wp:effectExtent l="0" t="0" r="0" b="3810"/>
            <wp:docPr id="21" name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34" cy="37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11. Обнаружение карбонат-ионов.</w:t>
      </w:r>
    </w:p>
    <w:p w:rsidR="00B53FD6" w:rsidRDefault="00B53FD6">
      <w:pPr>
        <w:jc w:val="right"/>
      </w:pPr>
    </w:p>
    <w:p w:rsidR="001B2B5A" w:rsidRDefault="001B2B5A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12.</w:t>
      </w:r>
    </w:p>
    <w:p w:rsidR="00B53FD6" w:rsidRDefault="00CE7AA2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22" name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</w:pPr>
      <w:r>
        <w:rPr>
          <w:rFonts w:ascii="Times New Roman" w:hAnsi="Times New Roman"/>
          <w:bCs/>
          <w:sz w:val="28"/>
          <w:szCs w:val="28"/>
        </w:rPr>
        <w:t>Рисунок 12. Обнаружение сульфат-ионов.</w:t>
      </w: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13.</w:t>
      </w: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23" name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</w:pPr>
      <w:r>
        <w:rPr>
          <w:rFonts w:ascii="Times New Roman" w:hAnsi="Times New Roman"/>
          <w:bCs/>
          <w:sz w:val="28"/>
          <w:szCs w:val="28"/>
        </w:rPr>
        <w:t>Рисунок 13. Обнаружение сульфит-ионов.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</w:pPr>
    </w:p>
    <w:p w:rsidR="00B53FD6" w:rsidRPr="001B2B5A" w:rsidRDefault="00CE7AA2" w:rsidP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14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24" name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</w:pPr>
      <w:r>
        <w:rPr>
          <w:rFonts w:ascii="Times New Roman" w:hAnsi="Times New Roman"/>
          <w:bCs/>
          <w:sz w:val="28"/>
          <w:szCs w:val="28"/>
        </w:rPr>
        <w:t>Рисунок 14. Обнаружение хлорид-ионов.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right"/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Pr="001B2B5A" w:rsidRDefault="00CE7AA2" w:rsidP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15.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572000" cy="4400550"/>
            <wp:effectExtent l="0" t="0" r="0" b="0"/>
            <wp:docPr id="25" name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</w:pPr>
      <w:r>
        <w:rPr>
          <w:rFonts w:ascii="Times New Roman" w:hAnsi="Times New Roman"/>
          <w:bCs/>
          <w:sz w:val="28"/>
          <w:szCs w:val="28"/>
        </w:rPr>
        <w:t>Рисунок 15. Обнаружение ионов натрия.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</w:pPr>
    </w:p>
    <w:p w:rsidR="00B53FD6" w:rsidRDefault="00B53FD6">
      <w:pPr>
        <w:spacing w:line="360" w:lineRule="auto"/>
      </w:pPr>
    </w:p>
    <w:p w:rsidR="00B53FD6" w:rsidRDefault="00B53FD6">
      <w:pPr>
        <w:spacing w:line="360" w:lineRule="auto"/>
      </w:pPr>
    </w:p>
    <w:p w:rsidR="00B53FD6" w:rsidRDefault="00B53FD6">
      <w:pPr>
        <w:spacing w:line="360" w:lineRule="auto"/>
      </w:pPr>
    </w:p>
    <w:p w:rsidR="00B53FD6" w:rsidRDefault="00B53FD6">
      <w:pPr>
        <w:spacing w:line="360" w:lineRule="auto"/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Pr="001B2B5A" w:rsidRDefault="00CE7AA2" w:rsidP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16.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26" name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16. Обнаружение ионов свинца.</w:t>
      </w: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both"/>
      </w:pPr>
    </w:p>
    <w:p w:rsidR="00B53FD6" w:rsidRDefault="00CE7AA2">
      <w:pPr>
        <w:spacing w:line="360" w:lineRule="auto"/>
        <w:jc w:val="right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43D2CAAB" id="Фигура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9PyQEAANADAAAOAAAAZHJzL2Uyb0RvYy54bWysU81u1DAQviPxDpbvbLIL4ifabA9U5YKg&#10;ovAAXme8seQ/jc1m94bEq/AASFx4jO0bdeykKS2nIi7OeGa+b+YbT9ZnB2vYHjBq71q+XNScgZO+&#10;027X8i+fL5695iwm4TphvIOWHyHys83TJ+shNLDyvTcdICMSF5shtLxPKTRVFWUPVsSFD+AoqDxa&#10;keiKu6pDMRC7NdWqrl9Wg8cuoJcQI3nPxyDfFH6lQKaPSkVIzLScekvlxHJu81lt1qLZoQi9llMb&#10;4h+6sEI7KjpTnYsk2FfUf1FZLdFHr9JCelt5pbSEooHULOsHaq56EaBooeHEMI8p/j9a+WF/iUx3&#10;LV+94swJS290+nH6ffp1/f362+nnMk9oCLGhxKtwidMtkpnlHhTa/CUh7FCmepynCofEJDmf1y/e&#10;rGj2kkKTTSzVHThgTO/AW5aNliM9Wpml2L+PaUy9Tcm1nL/QxpBfNMaxIde75yZm46hA7nrss1jp&#10;aGDEfAJFiku72REl7rZvDbJxLWhvqdnb5ShkBMiJiso+EjtBMhrKNj4SP4NKfe/SjLfaecyPM+oc&#10;1WWhW98dyzuVAK1NmfW04nkv/7wX+N2PuLkBAAD//wMAUEsDBBQABgAIAAAAIQD+XsLh1gAAAAMB&#10;AAAPAAAAZHJzL2Rvd25yZXYueG1sTI9Ba8MwDIXvg/4Ho8Juq7NSRsnilDIohd3aDZqja2txqC2H&#10;2E2zfz9tO2wXiccTT9+rNlPwYsQhdZEUPC4KEEgm2o5aBe9vu4c1iJQ1We0joYJPTLCpZ3eVLm28&#10;0QHHY24Fh1AqtQKXc19KmYzDoNMi9kjsfcQh6MxyaKUd9I3Dg5fLoniSQXfEH5zu8cWhuRyvQcF2&#10;bJanpt1b37xeVgdnUnPKRqn7+bR9BpFxyn/H8I3P6FAz0zleySbhFXCR/DPZW61ZnX+3rCv5n73+&#10;AgAA//8DAFBLAQItABQABgAIAAAAIQC2gziS/gAAAOEBAAATAAAAAAAAAAAAAAAAAAAAAABbQ29u&#10;dGVudF9UeXBlc10ueG1sUEsBAi0AFAAGAAgAAAAhADj9If/WAAAAlAEAAAsAAAAAAAAAAAAAAAAA&#10;LwEAAF9yZWxzLy5yZWxzUEsBAi0AFAAGAAgAAAAhAP85H0/JAQAA0AMAAA4AAAAAAAAAAAAAAAAA&#10;LgIAAGRycy9lMm9Eb2MueG1sUEsBAi0AFAAGAAgAAAAhAP5ewuHWAAAAAwEAAA8AAAAAAAAAAAAA&#10;AAAAIwQAAGRycy9kb3ducmV2LnhtbFBLBQYAAAAABAAEAPMAAAAmBQAAAAA=&#10;" filled="f" stroked="f" strokeweight="0">
                <w10:anchorlock/>
              </v:rect>
            </w:pict>
          </mc:Fallback>
        </mc:AlternateContent>
      </w: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</w:pPr>
      <w:r>
        <w:rPr>
          <w:rFonts w:ascii="Times New Roman" w:hAnsi="Times New Roman"/>
          <w:b/>
          <w:bCs/>
          <w:sz w:val="28"/>
          <w:szCs w:val="28"/>
        </w:rPr>
        <w:t>Приложение 17.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28" name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17. Обнаружение ионов меди.</w:t>
      </w: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B53FD6">
      <w:pPr>
        <w:spacing w:line="360" w:lineRule="auto"/>
        <w:jc w:val="both"/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Pr="001B2B5A" w:rsidRDefault="00CE7AA2" w:rsidP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18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2733675" cy="3644900"/>
            <wp:effectExtent l="0" t="0" r="0" b="0"/>
            <wp:docPr id="29" name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33675" cy="3644900"/>
            <wp:effectExtent l="0" t="0" r="0" b="0"/>
            <wp:docPr id="30" name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18. Обнаружение ионов железа.</w:t>
      </w: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center"/>
      </w:pPr>
    </w:p>
    <w:p w:rsidR="00B53FD6" w:rsidRDefault="00B53FD6">
      <w:pPr>
        <w:spacing w:line="360" w:lineRule="auto"/>
        <w:jc w:val="right"/>
      </w:pPr>
    </w:p>
    <w:p w:rsidR="00B53FD6" w:rsidRDefault="00B53FD6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B2B5A" w:rsidRDefault="001B2B5A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53FD6" w:rsidRDefault="00CE7AA2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19.</w:t>
      </w:r>
    </w:p>
    <w:p w:rsidR="00B53FD6" w:rsidRDefault="00CE7AA2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429000" cy="4572000"/>
            <wp:effectExtent l="0" t="0" r="0" b="0"/>
            <wp:docPr id="31" name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D6" w:rsidRDefault="00CE7AA2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19. Обнаружение нитрат-ионов.</w:t>
      </w: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Default="00B53FD6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3FD6" w:rsidRPr="001B2B5A" w:rsidRDefault="00CE7AA2" w:rsidP="001B2B5A">
      <w:pPr>
        <w:spacing w:line="360" w:lineRule="auto"/>
        <w:jc w:val="right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20.</w:t>
      </w:r>
    </w:p>
    <w:p w:rsidR="00B53FD6" w:rsidRDefault="00CE7AA2">
      <w:pPr>
        <w:spacing w:line="360" w:lineRule="auto"/>
        <w:jc w:val="right"/>
      </w:pPr>
      <w:r>
        <w:rPr>
          <w:noProof/>
          <w:lang w:eastAsia="ru-RU" w:bidi="ar-SA"/>
        </w:rPr>
        <w:drawing>
          <wp:anchor distT="0" distB="0" distL="0" distR="0" simplePos="0" relativeHeight="3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3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20. Залежная земля, возвращенная в сельскохозяйственный оборот</w:t>
      </w:r>
      <w:r w:rsidR="00BC33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.</w:t>
      </w:r>
    </w:p>
    <w:sectPr w:rsidR="00B53FD6">
      <w:footerReference w:type="default" r:id="rId41"/>
      <w:pgSz w:w="11906" w:h="16838"/>
      <w:pgMar w:top="1134" w:right="850" w:bottom="977" w:left="1701" w:header="0" w:footer="708" w:gutter="0"/>
      <w:cols w:space="720"/>
      <w:formProt w:val="0"/>
      <w:titlePg/>
      <w:docGrid w:linePitch="600" w:charSpace="491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1BE" w:rsidRDefault="00CE7AA2">
      <w:pPr>
        <w:spacing w:after="0" w:line="240" w:lineRule="auto"/>
      </w:pPr>
      <w:r>
        <w:separator/>
      </w:r>
    </w:p>
  </w:endnote>
  <w:endnote w:type="continuationSeparator" w:id="0">
    <w:p w:rsidR="00D361BE" w:rsidRDefault="00CE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623815"/>
      <w:docPartObj>
        <w:docPartGallery w:val="Page Numbers (Bottom of Page)"/>
        <w:docPartUnique/>
      </w:docPartObj>
    </w:sdtPr>
    <w:sdtEndPr/>
    <w:sdtContent>
      <w:p w:rsidR="001B2B5A" w:rsidRDefault="001B2B5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798">
          <w:rPr>
            <w:noProof/>
          </w:rPr>
          <w:t>24</w:t>
        </w:r>
        <w:r>
          <w:fldChar w:fldCharType="end"/>
        </w:r>
      </w:p>
    </w:sdtContent>
  </w:sdt>
  <w:p w:rsidR="00B53FD6" w:rsidRDefault="00B53FD6">
    <w:pPr>
      <w:pStyle w:val="af2"/>
      <w:spacing w:after="20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1BE" w:rsidRDefault="00CE7AA2">
      <w:pPr>
        <w:spacing w:after="0" w:line="240" w:lineRule="auto"/>
      </w:pPr>
      <w:r>
        <w:separator/>
      </w:r>
    </w:p>
  </w:footnote>
  <w:footnote w:type="continuationSeparator" w:id="0">
    <w:p w:rsidR="00D361BE" w:rsidRDefault="00CE7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A5021"/>
    <w:multiLevelType w:val="multilevel"/>
    <w:tmpl w:val="AA7004F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Calibri" w:hAnsi="Calibri" w:cs="Calibri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842A2C"/>
    <w:multiLevelType w:val="multilevel"/>
    <w:tmpl w:val="4794892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Calibri" w:hAnsi="Calibri" w:cs="Calibri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5EC58A2"/>
    <w:multiLevelType w:val="multilevel"/>
    <w:tmpl w:val="035C3DE4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87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4D976163"/>
    <w:multiLevelType w:val="multilevel"/>
    <w:tmpl w:val="BD748E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8222FC4"/>
    <w:multiLevelType w:val="multilevel"/>
    <w:tmpl w:val="643A8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2B5C65"/>
    <w:multiLevelType w:val="multilevel"/>
    <w:tmpl w:val="A83C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3FD6"/>
    <w:rsid w:val="00103EC9"/>
    <w:rsid w:val="00117D6E"/>
    <w:rsid w:val="001B2B5A"/>
    <w:rsid w:val="001C1A02"/>
    <w:rsid w:val="00286B30"/>
    <w:rsid w:val="002D6972"/>
    <w:rsid w:val="00436C76"/>
    <w:rsid w:val="004B4B2C"/>
    <w:rsid w:val="00534821"/>
    <w:rsid w:val="00967B23"/>
    <w:rsid w:val="0099681D"/>
    <w:rsid w:val="009A6802"/>
    <w:rsid w:val="009D4FF6"/>
    <w:rsid w:val="00A43A95"/>
    <w:rsid w:val="00AB6853"/>
    <w:rsid w:val="00B53FD6"/>
    <w:rsid w:val="00BC332B"/>
    <w:rsid w:val="00C33D14"/>
    <w:rsid w:val="00C419B5"/>
    <w:rsid w:val="00C91798"/>
    <w:rsid w:val="00CE7AA2"/>
    <w:rsid w:val="00D361BE"/>
    <w:rsid w:val="00EB249E"/>
    <w:rsid w:val="00EE2087"/>
    <w:rsid w:val="00F709A4"/>
    <w:rsid w:val="00F8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AA0F3"/>
  <w15:docId w15:val="{9360385B-D2E7-4C0D-A115-C632303B2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egoe UI" w:hAnsi="Calibri" w:cs="Tahoma"/>
        <w:color w:val="000000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next w:val="a"/>
    <w:qFormat/>
    <w:pPr>
      <w:widowControl w:val="0"/>
      <w:spacing w:before="120" w:after="120"/>
      <w:outlineLvl w:val="3"/>
    </w:pPr>
    <w:rPr>
      <w:rFonts w:ascii="XO Thames" w:hAnsi="XO Thames"/>
      <w:b/>
      <w:bCs/>
      <w:color w:val="595959"/>
      <w:sz w:val="26"/>
      <w:szCs w:val="26"/>
    </w:rPr>
  </w:style>
  <w:style w:type="paragraph" w:styleId="5">
    <w:name w:val="heading 5"/>
    <w:next w:val="a"/>
    <w:qFormat/>
    <w:pPr>
      <w:widowControl w:val="0"/>
      <w:spacing w:before="120" w:after="120"/>
      <w:outlineLvl w:val="4"/>
    </w:pPr>
    <w:rPr>
      <w:rFonts w:ascii="XO Thames" w:hAnsi="XO Thame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character" w:customStyle="1" w:styleId="a4">
    <w:name w:val="Ссылка указателя"/>
    <w:qFormat/>
  </w:style>
  <w:style w:type="paragraph" w:customStyle="1" w:styleId="10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10"/>
    <w:pPr>
      <w:suppressLineNumbers/>
    </w:pPr>
    <w:rPr>
      <w:b/>
      <w:bCs/>
      <w:sz w:val="32"/>
      <w:szCs w:val="32"/>
    </w:rPr>
  </w:style>
  <w:style w:type="paragraph" w:customStyle="1" w:styleId="11">
    <w:name w:val="Заголовок1"/>
    <w:basedOn w:val="a"/>
    <w:next w:val="a5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ListLabel78">
    <w:name w:val="ListLabel 78"/>
    <w:qFormat/>
    <w:pPr>
      <w:widowControl w:val="0"/>
    </w:pPr>
  </w:style>
  <w:style w:type="paragraph" w:customStyle="1" w:styleId="ListLabel20">
    <w:name w:val="ListLabel 20"/>
    <w:qFormat/>
    <w:pPr>
      <w:widowControl w:val="0"/>
    </w:pPr>
  </w:style>
  <w:style w:type="paragraph" w:customStyle="1" w:styleId="ListLabel91">
    <w:name w:val="ListLabel 91"/>
    <w:qFormat/>
    <w:pPr>
      <w:widowControl w:val="0"/>
    </w:pPr>
    <w:rPr>
      <w:sz w:val="20"/>
      <w:szCs w:val="20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ListLabel5">
    <w:name w:val="ListLabel 5"/>
    <w:qFormat/>
    <w:pPr>
      <w:widowControl w:val="0"/>
    </w:pPr>
  </w:style>
  <w:style w:type="paragraph" w:styleId="20">
    <w:name w:val="toc 2"/>
    <w:next w:val="a"/>
    <w:pPr>
      <w:widowControl w:val="0"/>
      <w:ind w:left="200"/>
    </w:pPr>
  </w:style>
  <w:style w:type="paragraph" w:customStyle="1" w:styleId="ListLabel36">
    <w:name w:val="ListLabel 36"/>
    <w:qFormat/>
    <w:pPr>
      <w:widowControl w:val="0"/>
    </w:pPr>
  </w:style>
  <w:style w:type="paragraph" w:customStyle="1" w:styleId="ListLabel69">
    <w:name w:val="ListLabel 69"/>
    <w:qFormat/>
    <w:pPr>
      <w:widowControl w:val="0"/>
    </w:pPr>
  </w:style>
  <w:style w:type="paragraph" w:customStyle="1" w:styleId="ListLabel100">
    <w:name w:val="ListLabel 100"/>
    <w:qFormat/>
    <w:pPr>
      <w:widowControl w:val="0"/>
    </w:pPr>
  </w:style>
  <w:style w:type="paragraph" w:customStyle="1" w:styleId="ListLabel25">
    <w:name w:val="ListLabel 25"/>
    <w:qFormat/>
    <w:pPr>
      <w:widowControl w:val="0"/>
    </w:pPr>
  </w:style>
  <w:style w:type="paragraph" w:customStyle="1" w:styleId="ListLabel115">
    <w:name w:val="ListLabel 115"/>
    <w:qFormat/>
    <w:pPr>
      <w:widowControl w:val="0"/>
    </w:pPr>
  </w:style>
  <w:style w:type="paragraph" w:customStyle="1" w:styleId="a9">
    <w:name w:val="Нижний колонтитул Знак"/>
    <w:basedOn w:val="12"/>
    <w:qFormat/>
  </w:style>
  <w:style w:type="paragraph" w:styleId="40">
    <w:name w:val="toc 4"/>
    <w:next w:val="a"/>
    <w:pPr>
      <w:widowControl w:val="0"/>
      <w:ind w:left="600"/>
    </w:pPr>
  </w:style>
  <w:style w:type="paragraph" w:customStyle="1" w:styleId="ListLabel70">
    <w:name w:val="ListLabel 70"/>
    <w:qFormat/>
    <w:pPr>
      <w:widowControl w:val="0"/>
    </w:pPr>
  </w:style>
  <w:style w:type="paragraph" w:styleId="aa">
    <w:name w:val="Normal (Web)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6">
    <w:name w:val="toc 6"/>
    <w:next w:val="a"/>
    <w:pPr>
      <w:widowControl w:val="0"/>
      <w:ind w:left="1000"/>
    </w:pPr>
  </w:style>
  <w:style w:type="paragraph" w:customStyle="1" w:styleId="ListLabel61">
    <w:name w:val="ListLabel 61"/>
    <w:qFormat/>
    <w:pPr>
      <w:widowControl w:val="0"/>
    </w:pPr>
  </w:style>
  <w:style w:type="paragraph" w:styleId="7">
    <w:name w:val="toc 7"/>
    <w:next w:val="a"/>
    <w:pPr>
      <w:widowControl w:val="0"/>
      <w:ind w:left="1200"/>
    </w:p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ListLabel71">
    <w:name w:val="ListLabel 71"/>
    <w:qFormat/>
    <w:pPr>
      <w:widowControl w:val="0"/>
    </w:pPr>
  </w:style>
  <w:style w:type="paragraph" w:customStyle="1" w:styleId="ListLabel18">
    <w:name w:val="ListLabel 18"/>
    <w:qFormat/>
    <w:pPr>
      <w:widowControl w:val="0"/>
    </w:pPr>
  </w:style>
  <w:style w:type="paragraph" w:customStyle="1" w:styleId="ListLabel23">
    <w:name w:val="ListLabel 23"/>
    <w:qFormat/>
    <w:pPr>
      <w:widowControl w:val="0"/>
    </w:pPr>
  </w:style>
  <w:style w:type="paragraph" w:customStyle="1" w:styleId="ListLabel49">
    <w:name w:val="ListLabel 49"/>
    <w:qFormat/>
    <w:pPr>
      <w:widowControl w:val="0"/>
    </w:p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ListLabel105">
    <w:name w:val="ListLabel 105"/>
    <w:qFormat/>
    <w:pPr>
      <w:widowControl w:val="0"/>
    </w:pPr>
  </w:style>
  <w:style w:type="paragraph" w:customStyle="1" w:styleId="ListLabel107">
    <w:name w:val="ListLabel 107"/>
    <w:qFormat/>
    <w:pPr>
      <w:widowControl w:val="0"/>
    </w:pPr>
  </w:style>
  <w:style w:type="paragraph" w:customStyle="1" w:styleId="ListLabel37">
    <w:name w:val="ListLabel 37"/>
    <w:qFormat/>
    <w:pPr>
      <w:widowControl w:val="0"/>
    </w:pPr>
  </w:style>
  <w:style w:type="paragraph" w:customStyle="1" w:styleId="ListLabel11">
    <w:name w:val="ListLabel 11"/>
    <w:qFormat/>
    <w:pPr>
      <w:widowControl w:val="0"/>
    </w:pPr>
  </w:style>
  <w:style w:type="paragraph" w:customStyle="1" w:styleId="13">
    <w:name w:val="Заголовок 1 Знак"/>
    <w:basedOn w:val="12"/>
    <w:qFormat/>
    <w:rPr>
      <w:rFonts w:ascii="Cambria" w:hAnsi="Cambria"/>
      <w:b/>
      <w:bCs/>
      <w:color w:val="365F91"/>
      <w:sz w:val="28"/>
      <w:szCs w:val="28"/>
    </w:rPr>
  </w:style>
  <w:style w:type="paragraph" w:customStyle="1" w:styleId="ListLabel28">
    <w:name w:val="ListLabel 28"/>
    <w:qFormat/>
    <w:pPr>
      <w:widowControl w:val="0"/>
    </w:pPr>
  </w:style>
  <w:style w:type="paragraph" w:customStyle="1" w:styleId="ListLabel53">
    <w:name w:val="ListLabel 53"/>
    <w:qFormat/>
    <w:pPr>
      <w:widowControl w:val="0"/>
    </w:pPr>
  </w:style>
  <w:style w:type="paragraph" w:styleId="ad">
    <w:name w:val="No Spacing"/>
    <w:qFormat/>
  </w:style>
  <w:style w:type="paragraph" w:customStyle="1" w:styleId="ListLabel90">
    <w:name w:val="ListLabel 90"/>
    <w:qFormat/>
    <w:pPr>
      <w:widowControl w:val="0"/>
    </w:pPr>
    <w:rPr>
      <w:sz w:val="20"/>
      <w:szCs w:val="20"/>
    </w:rPr>
  </w:style>
  <w:style w:type="paragraph" w:customStyle="1" w:styleId="ListLabel15">
    <w:name w:val="ListLabel 15"/>
    <w:qFormat/>
    <w:pPr>
      <w:widowControl w:val="0"/>
    </w:pPr>
  </w:style>
  <w:style w:type="paragraph" w:customStyle="1" w:styleId="ListLabel48">
    <w:name w:val="ListLabel 48"/>
    <w:qFormat/>
    <w:pPr>
      <w:widowControl w:val="0"/>
    </w:pPr>
  </w:style>
  <w:style w:type="paragraph" w:customStyle="1" w:styleId="ListLabel75">
    <w:name w:val="ListLabel 75"/>
    <w:qFormat/>
    <w:pPr>
      <w:widowControl w:val="0"/>
    </w:pPr>
  </w:style>
  <w:style w:type="paragraph" w:customStyle="1" w:styleId="ListLabel98">
    <w:name w:val="ListLabel 98"/>
    <w:qFormat/>
    <w:pPr>
      <w:widowControl w:val="0"/>
    </w:pPr>
    <w:rPr>
      <w:sz w:val="20"/>
      <w:szCs w:val="20"/>
    </w:rPr>
  </w:style>
  <w:style w:type="paragraph" w:customStyle="1" w:styleId="ListLabel24">
    <w:name w:val="ListLabel 24"/>
    <w:qFormat/>
    <w:pPr>
      <w:widowControl w:val="0"/>
    </w:pPr>
  </w:style>
  <w:style w:type="paragraph" w:customStyle="1" w:styleId="ListLabel66">
    <w:name w:val="ListLabel 66"/>
    <w:qFormat/>
    <w:pPr>
      <w:widowControl w:val="0"/>
    </w:pPr>
  </w:style>
  <w:style w:type="paragraph" w:customStyle="1" w:styleId="ListLabel34">
    <w:name w:val="ListLabel 34"/>
    <w:qFormat/>
    <w:pPr>
      <w:widowControl w:val="0"/>
    </w:pPr>
  </w:style>
  <w:style w:type="paragraph" w:customStyle="1" w:styleId="ListLabel110">
    <w:name w:val="ListLabel 110"/>
    <w:qFormat/>
    <w:pPr>
      <w:widowControl w:val="0"/>
    </w:pPr>
  </w:style>
  <w:style w:type="paragraph" w:customStyle="1" w:styleId="ListLabel22">
    <w:name w:val="ListLabel 22"/>
    <w:qFormat/>
    <w:pPr>
      <w:widowControl w:val="0"/>
    </w:pPr>
  </w:style>
  <w:style w:type="paragraph" w:customStyle="1" w:styleId="ListLabel10">
    <w:name w:val="ListLabel 10"/>
    <w:qFormat/>
    <w:pPr>
      <w:widowControl w:val="0"/>
    </w:pPr>
  </w:style>
  <w:style w:type="paragraph" w:customStyle="1" w:styleId="ListLabel58">
    <w:name w:val="ListLabel 58"/>
    <w:qFormat/>
    <w:pPr>
      <w:widowControl w:val="0"/>
    </w:pPr>
  </w:style>
  <w:style w:type="paragraph" w:customStyle="1" w:styleId="ListLabel38">
    <w:name w:val="ListLabel 38"/>
    <w:qFormat/>
    <w:pPr>
      <w:widowControl w:val="0"/>
    </w:pPr>
  </w:style>
  <w:style w:type="paragraph" w:customStyle="1" w:styleId="ListLabel108">
    <w:name w:val="ListLabel 108"/>
    <w:qFormat/>
    <w:pPr>
      <w:widowControl w:val="0"/>
    </w:pPr>
  </w:style>
  <w:style w:type="paragraph" w:customStyle="1" w:styleId="ListLabel79">
    <w:name w:val="ListLabel 79"/>
    <w:qFormat/>
    <w:pPr>
      <w:widowControl w:val="0"/>
    </w:pPr>
  </w:style>
  <w:style w:type="paragraph" w:customStyle="1" w:styleId="ListLabel80">
    <w:name w:val="ListLabel 80"/>
    <w:qFormat/>
    <w:pPr>
      <w:widowControl w:val="0"/>
    </w:pPr>
  </w:style>
  <w:style w:type="paragraph" w:customStyle="1" w:styleId="ListLabel93">
    <w:name w:val="ListLabel 93"/>
    <w:qFormat/>
    <w:pPr>
      <w:widowControl w:val="0"/>
    </w:pPr>
    <w:rPr>
      <w:sz w:val="20"/>
      <w:szCs w:val="20"/>
    </w:rPr>
  </w:style>
  <w:style w:type="paragraph" w:customStyle="1" w:styleId="ListLabel109">
    <w:name w:val="ListLabel 109"/>
    <w:qFormat/>
    <w:pPr>
      <w:widowControl w:val="0"/>
    </w:pPr>
  </w:style>
  <w:style w:type="paragraph" w:customStyle="1" w:styleId="ListLabel3">
    <w:name w:val="ListLabel 3"/>
    <w:qFormat/>
    <w:pPr>
      <w:widowControl w:val="0"/>
    </w:pPr>
  </w:style>
  <w:style w:type="paragraph" w:customStyle="1" w:styleId="ListLabel6">
    <w:name w:val="ListLabel 6"/>
    <w:qFormat/>
    <w:pPr>
      <w:widowControl w:val="0"/>
    </w:pPr>
  </w:style>
  <w:style w:type="paragraph" w:customStyle="1" w:styleId="h2">
    <w:name w:val="h2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Основной шрифт абзаца1"/>
    <w:qFormat/>
    <w:pPr>
      <w:widowControl w:val="0"/>
    </w:pPr>
  </w:style>
  <w:style w:type="paragraph" w:customStyle="1" w:styleId="ListLabel52">
    <w:name w:val="ListLabel 52"/>
    <w:qFormat/>
    <w:pPr>
      <w:widowControl w:val="0"/>
    </w:pPr>
  </w:style>
  <w:style w:type="paragraph" w:styleId="30">
    <w:name w:val="toc 3"/>
    <w:next w:val="a"/>
    <w:pPr>
      <w:widowControl w:val="0"/>
      <w:ind w:left="400"/>
    </w:pPr>
  </w:style>
  <w:style w:type="paragraph" w:customStyle="1" w:styleId="ae">
    <w:name w:val="Стиль"/>
    <w:qFormat/>
    <w:pPr>
      <w:widowControl w:val="0"/>
    </w:pPr>
    <w:rPr>
      <w:rFonts w:ascii="Times New Roman" w:hAnsi="Times New Roman"/>
      <w:sz w:val="24"/>
      <w:szCs w:val="24"/>
    </w:rPr>
  </w:style>
  <w:style w:type="paragraph" w:customStyle="1" w:styleId="ListLabel65">
    <w:name w:val="ListLabel 65"/>
    <w:qFormat/>
    <w:pPr>
      <w:widowControl w:val="0"/>
    </w:pPr>
  </w:style>
  <w:style w:type="paragraph" w:customStyle="1" w:styleId="ListLabel63">
    <w:name w:val="ListLabel 63"/>
    <w:qFormat/>
    <w:pPr>
      <w:widowControl w:val="0"/>
    </w:pPr>
  </w:style>
  <w:style w:type="paragraph" w:customStyle="1" w:styleId="ListLabel43">
    <w:name w:val="ListLabel 43"/>
    <w:qFormat/>
    <w:pPr>
      <w:widowControl w:val="0"/>
    </w:pPr>
  </w:style>
  <w:style w:type="paragraph" w:customStyle="1" w:styleId="ListLabel111">
    <w:name w:val="ListLabel 111"/>
    <w:qFormat/>
    <w:pPr>
      <w:widowControl w:val="0"/>
    </w:pPr>
  </w:style>
  <w:style w:type="paragraph" w:customStyle="1" w:styleId="ListLabel96">
    <w:name w:val="ListLabel 96"/>
    <w:qFormat/>
    <w:pPr>
      <w:widowControl w:val="0"/>
    </w:pPr>
    <w:rPr>
      <w:sz w:val="20"/>
      <w:szCs w:val="20"/>
    </w:rPr>
  </w:style>
  <w:style w:type="paragraph" w:customStyle="1" w:styleId="ListLabel47">
    <w:name w:val="ListLabel 47"/>
    <w:qFormat/>
    <w:pPr>
      <w:widowControl w:val="0"/>
    </w:pPr>
  </w:style>
  <w:style w:type="paragraph" w:customStyle="1" w:styleId="31">
    <w:name w:val="Заголовок 3 Знак"/>
    <w:basedOn w:val="12"/>
    <w:qFormat/>
    <w:rPr>
      <w:rFonts w:ascii="Cambria" w:hAnsi="Cambria"/>
      <w:b/>
      <w:bCs/>
      <w:color w:val="4F81BD"/>
    </w:rPr>
  </w:style>
  <w:style w:type="paragraph" w:customStyle="1" w:styleId="ListLabel102">
    <w:name w:val="ListLabel 102"/>
    <w:qFormat/>
    <w:pPr>
      <w:widowControl w:val="0"/>
    </w:pPr>
  </w:style>
  <w:style w:type="paragraph" w:customStyle="1" w:styleId="ListLabel85">
    <w:name w:val="ListLabel 85"/>
    <w:qFormat/>
    <w:pPr>
      <w:widowControl w:val="0"/>
    </w:pPr>
    <w:rPr>
      <w:sz w:val="20"/>
      <w:szCs w:val="20"/>
    </w:rPr>
  </w:style>
  <w:style w:type="paragraph" w:customStyle="1" w:styleId="ListLabel55">
    <w:name w:val="ListLabel 55"/>
    <w:qFormat/>
    <w:pPr>
      <w:widowControl w:val="0"/>
    </w:pPr>
  </w:style>
  <w:style w:type="paragraph" w:customStyle="1" w:styleId="ListLabel74">
    <w:name w:val="ListLabel 74"/>
    <w:qFormat/>
    <w:pPr>
      <w:widowControl w:val="0"/>
    </w:pPr>
  </w:style>
  <w:style w:type="paragraph" w:customStyle="1" w:styleId="ListLabel117">
    <w:name w:val="ListLabel 117"/>
    <w:qFormat/>
    <w:pPr>
      <w:widowControl w:val="0"/>
    </w:pPr>
  </w:style>
  <w:style w:type="paragraph" w:customStyle="1" w:styleId="ListLabel60">
    <w:name w:val="ListLabel 60"/>
    <w:qFormat/>
    <w:pPr>
      <w:widowControl w:val="0"/>
    </w:pPr>
  </w:style>
  <w:style w:type="paragraph" w:customStyle="1" w:styleId="ListLabel87">
    <w:name w:val="ListLabel 87"/>
    <w:qFormat/>
    <w:pPr>
      <w:widowControl w:val="0"/>
    </w:pPr>
    <w:rPr>
      <w:sz w:val="20"/>
      <w:szCs w:val="20"/>
    </w:rPr>
  </w:style>
  <w:style w:type="paragraph" w:customStyle="1" w:styleId="ListLabel19">
    <w:name w:val="ListLabel 19"/>
    <w:qFormat/>
    <w:pPr>
      <w:widowControl w:val="0"/>
    </w:pPr>
  </w:style>
  <w:style w:type="paragraph" w:customStyle="1" w:styleId="ListLabel113">
    <w:name w:val="ListLabel 113"/>
    <w:qFormat/>
    <w:pPr>
      <w:widowControl w:val="0"/>
    </w:pPr>
  </w:style>
  <w:style w:type="paragraph" w:customStyle="1" w:styleId="ListLabel54">
    <w:name w:val="ListLabel 54"/>
    <w:qFormat/>
    <w:pPr>
      <w:widowControl w:val="0"/>
    </w:pPr>
  </w:style>
  <w:style w:type="paragraph" w:customStyle="1" w:styleId="ListLabel13">
    <w:name w:val="ListLabel 13"/>
    <w:qFormat/>
    <w:pPr>
      <w:widowControl w:val="0"/>
    </w:pPr>
  </w:style>
  <w:style w:type="paragraph" w:customStyle="1" w:styleId="ListLabel94">
    <w:name w:val="ListLabel 94"/>
    <w:qFormat/>
    <w:pPr>
      <w:widowControl w:val="0"/>
    </w:pPr>
    <w:rPr>
      <w:sz w:val="20"/>
      <w:szCs w:val="20"/>
    </w:rPr>
  </w:style>
  <w:style w:type="paragraph" w:customStyle="1" w:styleId="ListLabel76">
    <w:name w:val="ListLabel 76"/>
    <w:qFormat/>
    <w:pPr>
      <w:widowControl w:val="0"/>
    </w:pPr>
  </w:style>
  <w:style w:type="paragraph" w:customStyle="1" w:styleId="ListLabel82">
    <w:name w:val="ListLabel 82"/>
    <w:qFormat/>
    <w:pPr>
      <w:widowControl w:val="0"/>
    </w:pPr>
    <w:rPr>
      <w:sz w:val="20"/>
      <w:szCs w:val="20"/>
    </w:rPr>
  </w:style>
  <w:style w:type="paragraph" w:customStyle="1" w:styleId="ListLabel40">
    <w:name w:val="ListLabel 40"/>
    <w:qFormat/>
    <w:pPr>
      <w:widowControl w:val="0"/>
    </w:pPr>
  </w:style>
  <w:style w:type="paragraph" w:customStyle="1" w:styleId="ListLabel73">
    <w:name w:val="ListLabel 73"/>
    <w:qFormat/>
    <w:pPr>
      <w:widowControl w:val="0"/>
    </w:pPr>
  </w:style>
  <w:style w:type="paragraph" w:customStyle="1" w:styleId="14">
    <w:name w:val="Гиперссылка1"/>
    <w:basedOn w:val="12"/>
    <w:qFormat/>
    <w:rPr>
      <w:color w:val="0000FF"/>
      <w:u w:val="single"/>
    </w:rPr>
  </w:style>
  <w:style w:type="paragraph" w:styleId="af">
    <w:name w:val="footnote text"/>
    <w:pPr>
      <w:widowControl w:val="0"/>
    </w:pPr>
    <w:rPr>
      <w:rFonts w:ascii="XO Thames" w:hAnsi="XO Thames"/>
    </w:rPr>
  </w:style>
  <w:style w:type="paragraph" w:customStyle="1" w:styleId="ListLabel59">
    <w:name w:val="ListLabel 59"/>
    <w:qFormat/>
    <w:pPr>
      <w:widowControl w:val="0"/>
    </w:pPr>
  </w:style>
  <w:style w:type="paragraph" w:customStyle="1" w:styleId="ListLabel45">
    <w:name w:val="ListLabel 45"/>
    <w:qFormat/>
    <w:pPr>
      <w:widowControl w:val="0"/>
    </w:pPr>
  </w:style>
  <w:style w:type="paragraph" w:customStyle="1" w:styleId="ListLabel4">
    <w:name w:val="ListLabel 4"/>
    <w:qFormat/>
    <w:pPr>
      <w:widowControl w:val="0"/>
    </w:pPr>
  </w:style>
  <w:style w:type="paragraph" w:styleId="15">
    <w:name w:val="toc 1"/>
    <w:next w:val="a"/>
    <w:pPr>
      <w:widowControl w:val="0"/>
    </w:pPr>
    <w:rPr>
      <w:rFonts w:ascii="XO Thames" w:hAnsi="XO Thames"/>
      <w:b/>
      <w:bCs/>
    </w:rPr>
  </w:style>
  <w:style w:type="paragraph" w:customStyle="1" w:styleId="ListLabel99">
    <w:name w:val="ListLabel 99"/>
    <w:qFormat/>
    <w:pPr>
      <w:widowControl w:val="0"/>
    </w:pPr>
    <w:rPr>
      <w:sz w:val="20"/>
      <w:szCs w:val="20"/>
    </w:rPr>
  </w:style>
  <w:style w:type="paragraph" w:customStyle="1" w:styleId="af0">
    <w:name w:val="Колонтитул"/>
    <w:basedOn w:val="a"/>
    <w:qFormat/>
  </w:style>
  <w:style w:type="paragraph" w:customStyle="1" w:styleId="ListLabel35">
    <w:name w:val="ListLabel 35"/>
    <w:qFormat/>
    <w:pPr>
      <w:widowControl w:val="0"/>
    </w:pPr>
  </w:style>
  <w:style w:type="paragraph" w:customStyle="1" w:styleId="16">
    <w:name w:val="Строгий1"/>
    <w:basedOn w:val="12"/>
    <w:qFormat/>
    <w:rPr>
      <w:b/>
      <w:bCs/>
    </w:rPr>
  </w:style>
  <w:style w:type="paragraph" w:customStyle="1" w:styleId="ListLabel89">
    <w:name w:val="ListLabel 89"/>
    <w:qFormat/>
    <w:pPr>
      <w:widowControl w:val="0"/>
    </w:pPr>
    <w:rPr>
      <w:sz w:val="20"/>
      <w:szCs w:val="20"/>
    </w:rPr>
  </w:style>
  <w:style w:type="paragraph" w:customStyle="1" w:styleId="ListLabel62">
    <w:name w:val="ListLabel 62"/>
    <w:qFormat/>
    <w:pPr>
      <w:widowControl w:val="0"/>
    </w:pPr>
  </w:style>
  <w:style w:type="paragraph" w:customStyle="1" w:styleId="ListLabel39">
    <w:name w:val="ListLabel 39"/>
    <w:qFormat/>
    <w:pPr>
      <w:widowControl w:val="0"/>
    </w:pPr>
  </w:style>
  <w:style w:type="paragraph" w:customStyle="1" w:styleId="af1">
    <w:name w:val="Верхний колонтитул Знак"/>
    <w:basedOn w:val="12"/>
    <w:qFormat/>
  </w:style>
  <w:style w:type="paragraph" w:customStyle="1" w:styleId="ListLabel97">
    <w:name w:val="ListLabel 97"/>
    <w:qFormat/>
    <w:pPr>
      <w:widowControl w:val="0"/>
    </w:pPr>
    <w:rPr>
      <w:sz w:val="20"/>
      <w:szCs w:val="20"/>
    </w:rPr>
  </w:style>
  <w:style w:type="paragraph" w:customStyle="1" w:styleId="ListLabel1">
    <w:name w:val="ListLabel 1"/>
    <w:qFormat/>
    <w:pPr>
      <w:widowControl w:val="0"/>
    </w:pPr>
  </w:style>
  <w:style w:type="paragraph" w:styleId="9">
    <w:name w:val="toc 9"/>
    <w:next w:val="a"/>
    <w:pPr>
      <w:widowControl w:val="0"/>
      <w:ind w:left="1600"/>
    </w:pPr>
  </w:style>
  <w:style w:type="paragraph" w:customStyle="1" w:styleId="ListLabel21">
    <w:name w:val="ListLabel 21"/>
    <w:qFormat/>
    <w:pPr>
      <w:widowControl w:val="0"/>
    </w:pPr>
  </w:style>
  <w:style w:type="paragraph" w:customStyle="1" w:styleId="ListLabel42">
    <w:name w:val="ListLabel 42"/>
    <w:qFormat/>
    <w:pPr>
      <w:widowControl w:val="0"/>
    </w:pPr>
  </w:style>
  <w:style w:type="paragraph" w:customStyle="1" w:styleId="ListLabel7">
    <w:name w:val="ListLabel 7"/>
    <w:qFormat/>
    <w:pPr>
      <w:widowControl w:val="0"/>
    </w:pPr>
  </w:style>
  <w:style w:type="paragraph" w:customStyle="1" w:styleId="ListLabel26">
    <w:name w:val="ListLabel 26"/>
    <w:qFormat/>
    <w:pPr>
      <w:widowControl w:val="0"/>
    </w:pPr>
  </w:style>
  <w:style w:type="paragraph" w:customStyle="1" w:styleId="ListLabel12">
    <w:name w:val="ListLabel 12"/>
    <w:qFormat/>
    <w:pPr>
      <w:widowControl w:val="0"/>
    </w:pPr>
  </w:style>
  <w:style w:type="paragraph" w:customStyle="1" w:styleId="ListLabel72">
    <w:name w:val="ListLabel 72"/>
    <w:qFormat/>
    <w:pPr>
      <w:widowControl w:val="0"/>
    </w:pPr>
  </w:style>
  <w:style w:type="paragraph" w:customStyle="1" w:styleId="17">
    <w:name w:val="Выделение1"/>
    <w:basedOn w:val="12"/>
    <w:qFormat/>
    <w:rPr>
      <w:i/>
      <w:iCs/>
    </w:rPr>
  </w:style>
  <w:style w:type="paragraph" w:styleId="8">
    <w:name w:val="toc 8"/>
    <w:next w:val="a"/>
    <w:pPr>
      <w:widowControl w:val="0"/>
      <w:ind w:left="1400"/>
    </w:pPr>
  </w:style>
  <w:style w:type="paragraph" w:customStyle="1" w:styleId="ListLabel30">
    <w:name w:val="ListLabel 30"/>
    <w:qFormat/>
    <w:pPr>
      <w:widowControl w:val="0"/>
    </w:pPr>
  </w:style>
  <w:style w:type="paragraph" w:customStyle="1" w:styleId="ListLabel44">
    <w:name w:val="ListLabel 44"/>
    <w:qFormat/>
    <w:pPr>
      <w:widowControl w:val="0"/>
    </w:pPr>
  </w:style>
  <w:style w:type="paragraph" w:customStyle="1" w:styleId="ListLabel33">
    <w:name w:val="ListLabel 33"/>
    <w:qFormat/>
    <w:pPr>
      <w:widowControl w:val="0"/>
    </w:pPr>
  </w:style>
  <w:style w:type="paragraph" w:customStyle="1" w:styleId="ListLabel106">
    <w:name w:val="ListLabel 106"/>
    <w:qFormat/>
    <w:pPr>
      <w:widowControl w:val="0"/>
    </w:pPr>
  </w:style>
  <w:style w:type="paragraph" w:customStyle="1" w:styleId="ListLabel104">
    <w:name w:val="ListLabel 104"/>
    <w:qFormat/>
    <w:pPr>
      <w:widowControl w:val="0"/>
    </w:pPr>
  </w:style>
  <w:style w:type="paragraph" w:customStyle="1" w:styleId="ListLabel41">
    <w:name w:val="ListLabel 41"/>
    <w:qFormat/>
    <w:pPr>
      <w:widowControl w:val="0"/>
    </w:pPr>
  </w:style>
  <w:style w:type="paragraph" w:customStyle="1" w:styleId="ListLabel50">
    <w:name w:val="ListLabel 50"/>
    <w:qFormat/>
    <w:pPr>
      <w:widowControl w:val="0"/>
    </w:pPr>
  </w:style>
  <w:style w:type="paragraph" w:customStyle="1" w:styleId="ListLabel9">
    <w:name w:val="ListLabel 9"/>
    <w:qFormat/>
    <w:pPr>
      <w:widowControl w:val="0"/>
    </w:pPr>
  </w:style>
  <w:style w:type="paragraph" w:customStyle="1" w:styleId="ListLabel88">
    <w:name w:val="ListLabel 88"/>
    <w:qFormat/>
    <w:pPr>
      <w:widowControl w:val="0"/>
    </w:pPr>
    <w:rPr>
      <w:sz w:val="20"/>
      <w:szCs w:val="20"/>
    </w:rPr>
  </w:style>
  <w:style w:type="paragraph" w:customStyle="1" w:styleId="ListLabel83">
    <w:name w:val="ListLabel 83"/>
    <w:qFormat/>
    <w:pPr>
      <w:widowControl w:val="0"/>
    </w:pPr>
    <w:rPr>
      <w:sz w:val="20"/>
      <w:szCs w:val="20"/>
    </w:rPr>
  </w:style>
  <w:style w:type="paragraph" w:customStyle="1" w:styleId="ListLabel114">
    <w:name w:val="ListLabel 114"/>
    <w:qFormat/>
    <w:pPr>
      <w:widowControl w:val="0"/>
    </w:pPr>
  </w:style>
  <w:style w:type="paragraph" w:customStyle="1" w:styleId="ListLabel14">
    <w:name w:val="ListLabel 14"/>
    <w:qFormat/>
    <w:pPr>
      <w:widowControl w:val="0"/>
    </w:pPr>
  </w:style>
  <w:style w:type="paragraph" w:customStyle="1" w:styleId="ListLabel57">
    <w:name w:val="ListLabel 57"/>
    <w:qFormat/>
    <w:pPr>
      <w:widowControl w:val="0"/>
    </w:pPr>
  </w:style>
  <w:style w:type="paragraph" w:styleId="50">
    <w:name w:val="toc 5"/>
    <w:next w:val="a"/>
    <w:pPr>
      <w:widowControl w:val="0"/>
      <w:ind w:left="800"/>
    </w:pPr>
  </w:style>
  <w:style w:type="paragraph" w:customStyle="1" w:styleId="ListLabel32">
    <w:name w:val="ListLabel 32"/>
    <w:qFormat/>
    <w:pPr>
      <w:widowControl w:val="0"/>
    </w:pPr>
  </w:style>
  <w:style w:type="paragraph" w:customStyle="1" w:styleId="ListLabel101">
    <w:name w:val="ListLabel 101"/>
    <w:qFormat/>
    <w:pPr>
      <w:widowControl w:val="0"/>
    </w:pPr>
  </w:style>
  <w:style w:type="paragraph" w:customStyle="1" w:styleId="HTML0">
    <w:name w:val="Стандартный HTML Знак"/>
    <w:basedOn w:val="12"/>
    <w:qFormat/>
    <w:rPr>
      <w:rFonts w:ascii="Courier New" w:hAnsi="Courier New"/>
      <w:sz w:val="20"/>
      <w:szCs w:val="20"/>
    </w:rPr>
  </w:style>
  <w:style w:type="paragraph" w:customStyle="1" w:styleId="ListLabel103">
    <w:name w:val="ListLabel 103"/>
    <w:qFormat/>
    <w:pPr>
      <w:widowControl w:val="0"/>
    </w:pPr>
  </w:style>
  <w:style w:type="paragraph" w:customStyle="1" w:styleId="ListLabel68">
    <w:name w:val="ListLabel 68"/>
    <w:qFormat/>
    <w:pPr>
      <w:widowControl w:val="0"/>
    </w:pPr>
  </w:style>
  <w:style w:type="paragraph" w:customStyle="1" w:styleId="ListLabel95">
    <w:name w:val="ListLabel 95"/>
    <w:qFormat/>
    <w:pPr>
      <w:widowControl w:val="0"/>
    </w:pPr>
    <w:rPr>
      <w:sz w:val="20"/>
      <w:szCs w:val="20"/>
    </w:rPr>
  </w:style>
  <w:style w:type="paragraph" w:customStyle="1" w:styleId="ListLabel64">
    <w:name w:val="ListLabel 64"/>
    <w:qFormat/>
    <w:pPr>
      <w:widowControl w:val="0"/>
    </w:pPr>
  </w:style>
  <w:style w:type="paragraph" w:customStyle="1" w:styleId="ListLabel46">
    <w:name w:val="ListLabel 46"/>
    <w:qFormat/>
    <w:pPr>
      <w:widowControl w:val="0"/>
    </w:pPr>
    <w:rPr>
      <w:b/>
      <w:bCs/>
    </w:rPr>
  </w:style>
  <w:style w:type="paragraph" w:customStyle="1" w:styleId="ListLabel112">
    <w:name w:val="ListLabel 112"/>
    <w:qFormat/>
    <w:pPr>
      <w:widowControl w:val="0"/>
    </w:pPr>
  </w:style>
  <w:style w:type="paragraph" w:customStyle="1" w:styleId="ListLabel84">
    <w:name w:val="ListLabel 84"/>
    <w:qFormat/>
    <w:pPr>
      <w:widowControl w:val="0"/>
    </w:pPr>
    <w:rPr>
      <w:sz w:val="20"/>
      <w:szCs w:val="20"/>
    </w:rPr>
  </w:style>
  <w:style w:type="paragraph" w:styleId="af2">
    <w:name w:val="foot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ListLabel67">
    <w:name w:val="ListLabel 67"/>
    <w:qFormat/>
    <w:pPr>
      <w:widowControl w:val="0"/>
    </w:pPr>
  </w:style>
  <w:style w:type="paragraph" w:customStyle="1" w:styleId="ListLabel77">
    <w:name w:val="ListLabel 77"/>
    <w:qFormat/>
    <w:pPr>
      <w:widowControl w:val="0"/>
    </w:pPr>
  </w:style>
  <w:style w:type="paragraph" w:customStyle="1" w:styleId="ListLabel81">
    <w:name w:val="ListLabel 81"/>
    <w:qFormat/>
    <w:pPr>
      <w:widowControl w:val="0"/>
    </w:pPr>
  </w:style>
  <w:style w:type="paragraph" w:customStyle="1" w:styleId="ListLabel86">
    <w:name w:val="ListLabel 86"/>
    <w:qFormat/>
    <w:pPr>
      <w:widowControl w:val="0"/>
    </w:pPr>
    <w:rPr>
      <w:sz w:val="20"/>
      <w:szCs w:val="20"/>
    </w:rPr>
  </w:style>
  <w:style w:type="paragraph" w:customStyle="1" w:styleId="ListLabel8">
    <w:name w:val="ListLabel 8"/>
    <w:qFormat/>
    <w:pPr>
      <w:widowControl w:val="0"/>
    </w:pPr>
  </w:style>
  <w:style w:type="paragraph" w:styleId="af3">
    <w:name w:val="Subtitle"/>
    <w:next w:val="a"/>
    <w:qFormat/>
    <w:pPr>
      <w:widowControl w:val="0"/>
    </w:pPr>
    <w:rPr>
      <w:rFonts w:ascii="XO Thames" w:hAnsi="XO Thames"/>
      <w:i/>
      <w:iCs/>
      <w:color w:val="616161"/>
      <w:sz w:val="24"/>
      <w:szCs w:val="24"/>
    </w:rPr>
  </w:style>
  <w:style w:type="paragraph" w:customStyle="1" w:styleId="ListLabel2">
    <w:name w:val="ListLabel 2"/>
    <w:qFormat/>
    <w:pPr>
      <w:widowControl w:val="0"/>
    </w:pPr>
  </w:style>
  <w:style w:type="paragraph" w:customStyle="1" w:styleId="ListLabel51">
    <w:name w:val="ListLabel 51"/>
    <w:qFormat/>
    <w:pPr>
      <w:widowControl w:val="0"/>
    </w:pPr>
  </w:style>
  <w:style w:type="paragraph" w:customStyle="1" w:styleId="ListLabel31">
    <w:name w:val="ListLabel 31"/>
    <w:qFormat/>
    <w:pPr>
      <w:widowControl w:val="0"/>
    </w:pPr>
  </w:style>
  <w:style w:type="paragraph" w:customStyle="1" w:styleId="ListLabel17">
    <w:name w:val="ListLabel 17"/>
    <w:qFormat/>
    <w:pPr>
      <w:widowControl w:val="0"/>
    </w:pPr>
  </w:style>
  <w:style w:type="paragraph" w:customStyle="1" w:styleId="af4">
    <w:name w:val="Без интервала Знак"/>
    <w:basedOn w:val="12"/>
    <w:qFormat/>
  </w:style>
  <w:style w:type="paragraph" w:customStyle="1" w:styleId="100">
    <w:name w:val="Оглавление 10"/>
    <w:next w:val="a"/>
    <w:qFormat/>
    <w:pPr>
      <w:widowControl w:val="0"/>
      <w:ind w:left="1800"/>
    </w:pPr>
  </w:style>
  <w:style w:type="paragraph" w:customStyle="1" w:styleId="21">
    <w:name w:val="Заголовок 2 Знак"/>
    <w:basedOn w:val="12"/>
    <w:qFormat/>
    <w:rPr>
      <w:rFonts w:ascii="Cambria" w:hAnsi="Cambria"/>
      <w:b/>
      <w:bCs/>
      <w:color w:val="4F81BD"/>
      <w:sz w:val="26"/>
      <w:szCs w:val="26"/>
    </w:rPr>
  </w:style>
  <w:style w:type="paragraph" w:styleId="af5">
    <w:name w:val="Title"/>
    <w:next w:val="a"/>
    <w:qFormat/>
    <w:pPr>
      <w:widowControl w:val="0"/>
    </w:pPr>
    <w:rPr>
      <w:rFonts w:ascii="XO Thames" w:hAnsi="XO Thames"/>
      <w:b/>
      <w:bCs/>
      <w:sz w:val="52"/>
      <w:szCs w:val="52"/>
    </w:rPr>
  </w:style>
  <w:style w:type="paragraph" w:customStyle="1" w:styleId="af6">
    <w:name w:val="Текст выноски Знак"/>
    <w:basedOn w:val="12"/>
    <w:qFormat/>
    <w:rPr>
      <w:rFonts w:ascii="Tahoma" w:hAnsi="Tahoma"/>
      <w:sz w:val="16"/>
      <w:szCs w:val="16"/>
    </w:rPr>
  </w:style>
  <w:style w:type="paragraph" w:customStyle="1" w:styleId="ListLabel27">
    <w:name w:val="ListLabel 27"/>
    <w:qFormat/>
    <w:pPr>
      <w:widowControl w:val="0"/>
    </w:pPr>
  </w:style>
  <w:style w:type="paragraph" w:customStyle="1" w:styleId="ListLabel56">
    <w:name w:val="ListLabel 56"/>
    <w:qFormat/>
    <w:pPr>
      <w:widowControl w:val="0"/>
    </w:pPr>
  </w:style>
  <w:style w:type="paragraph" w:customStyle="1" w:styleId="ListLabel16">
    <w:name w:val="ListLabel 16"/>
    <w:qFormat/>
    <w:pPr>
      <w:widowControl w:val="0"/>
    </w:pPr>
  </w:style>
  <w:style w:type="paragraph" w:styleId="af7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ListLabel116">
    <w:name w:val="ListLabel 116"/>
    <w:qFormat/>
    <w:pPr>
      <w:widowControl w:val="0"/>
    </w:pPr>
  </w:style>
  <w:style w:type="paragraph" w:customStyle="1" w:styleId="ListLabel92">
    <w:name w:val="ListLabel 92"/>
    <w:qFormat/>
    <w:pPr>
      <w:widowControl w:val="0"/>
    </w:pPr>
    <w:rPr>
      <w:sz w:val="20"/>
      <w:szCs w:val="20"/>
    </w:rPr>
  </w:style>
  <w:style w:type="paragraph" w:customStyle="1" w:styleId="ListLabel29">
    <w:name w:val="ListLabel 29"/>
    <w:qFormat/>
    <w:pPr>
      <w:widowControl w:val="0"/>
    </w:pPr>
  </w:style>
  <w:style w:type="paragraph" w:customStyle="1" w:styleId="af8">
    <w:name w:val="Содержимое таблицы"/>
    <w:basedOn w:val="a"/>
    <w:qFormat/>
    <w:pPr>
      <w:widowControl w:val="0"/>
      <w:suppressLineNumbers/>
    </w:pPr>
  </w:style>
  <w:style w:type="paragraph" w:styleId="af9">
    <w:name w:val="TOC Heading"/>
    <w:basedOn w:val="a8"/>
  </w:style>
  <w:style w:type="numbering" w:customStyle="1" w:styleId="numList1">
    <w:name w:val="numList_1"/>
    <w:qFormat/>
  </w:style>
  <w:style w:type="numbering" w:customStyle="1" w:styleId="numList2">
    <w:name w:val="numList_2"/>
    <w:qFormat/>
  </w:style>
  <w:style w:type="numbering" w:customStyle="1" w:styleId="numList3">
    <w:name w:val="numList_3"/>
    <w:qFormat/>
  </w:style>
  <w:style w:type="numbering" w:customStyle="1" w:styleId="numList4">
    <w:name w:val="numList_4"/>
    <w:qFormat/>
  </w:style>
  <w:style w:type="character" w:styleId="afa">
    <w:name w:val="Hyperlink"/>
    <w:basedOn w:val="a0"/>
    <w:uiPriority w:val="99"/>
    <w:unhideWhenUsed/>
    <w:rsid w:val="001B2B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runtovozov.ru/chasto-zadavayemiye-voprosy/primenenie-gruntov/plodorodnost-pochvyi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government.ru/media/files/H0r3EQe7gpGEJvEtfAClXtnJ4gt6Xpr2.pdf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hyperlink" Target="mailto:2@pochtamt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sm-agro.ru/articles/nepahanoe-pole-kak-vernut-v-oborot-zalezhnye-zemli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44</Pages>
  <Words>4584</Words>
  <Characters>26135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323</dc:creator>
  <cp:lastModifiedBy>user</cp:lastModifiedBy>
  <cp:revision>18</cp:revision>
  <dcterms:created xsi:type="dcterms:W3CDTF">2022-12-01T06:55:00Z</dcterms:created>
  <dcterms:modified xsi:type="dcterms:W3CDTF">2022-12-03T07:31:00Z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2022-11-15T19:32:23Z</dcterms:created>
  <dc:creator/>
  <dc:description/>
  <dc:language>ru-RU</dc:language>
  <cp:lastModifiedBy/>
  <dcterms:modified xsi:type="dcterms:W3CDTF">2022-11-30T20:10:11Z</dcterms:modified>
  <cp:revision>8</cp:revision>
  <dc:subject/>
  <dc:title/>
</cp:coreProperties>
</file>